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00313" w14:textId="77777777" w:rsidR="0090625F" w:rsidRPr="00B05DEC" w:rsidRDefault="0090625F" w:rsidP="009062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B05DEC">
        <w:rPr>
          <w:rFonts w:ascii="Times New Roman" w:eastAsia="Times New Roman" w:hAnsi="Times New Roman" w:cs="Times New Roman"/>
          <w:b/>
          <w:i/>
          <w:sz w:val="38"/>
          <w:szCs w:val="20"/>
        </w:rPr>
        <w:t>Public Utility Commission of Texas</w:t>
      </w:r>
    </w:p>
    <w:p w14:paraId="6C32B5BC" w14:textId="77777777" w:rsidR="0090625F" w:rsidRPr="00B05DEC" w:rsidRDefault="0090625F" w:rsidP="0090625F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12"/>
          <w:szCs w:val="12"/>
        </w:rPr>
      </w:pPr>
      <w:r w:rsidRPr="00B05DEC">
        <w:rPr>
          <w:rFonts w:ascii="Times New Roman" w:eastAsia="Times New Roman" w:hAnsi="Times New Roman" w:cs="Times New Roman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161925" wp14:editId="4FCF6766">
                <wp:simplePos x="0" y="0"/>
                <wp:positionH relativeFrom="column">
                  <wp:posOffset>1132953</wp:posOffset>
                </wp:positionH>
                <wp:positionV relativeFrom="paragraph">
                  <wp:posOffset>45085</wp:posOffset>
                </wp:positionV>
                <wp:extent cx="36576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24753B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2pt,3.55pt" to="377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xOysgEAAFoDAAAOAAAAZHJzL2Uyb0RvYy54bWysU8tu2zAQvBfIPxC811Rc1AkEyznESC5F&#10;G6DpB2z4kAjwBS5j2X/fJe04TnsrqgNFcrWzO7Oj9d3eO7bTGW0MA79edJzpIKOyYRz4r+eHz7ec&#10;YYGgwMWgB37QyO82V5/Wc+r1Mk7RKZ0ZgQTs5zTwqZTUC4Fy0h5wEZMOFDQxeyh0zKNQGWZC904s&#10;u24l5phVylFqRLrdHoN80/CN0bL8MAZ1YW7g1Ftpa27rS13FZg39mCFNVp7agH/owoMNVPQMtYUC&#10;7DXbv6C8lTliNGUhoxfRGCt140Bsrrs/2PycIOnGhcTBdJYJ/x+s/L67D0+ZZJgT9piecmWxN9nX&#10;N/XH9k2sw1ksvS9M0uWX1debVUeayreYeE9MGcujjp7VzcCdDZUH9LD7hoWK0advn9TrEB+sc20W&#10;LrCZjLS8adBAljAOClXxSQ0cw8gZuJG8JktukBidVTW9AuEB711mO6Bxk0tUnJ+pX84cYKEAkWhP&#10;HTu18CG19rMFnI7JLXR0h7eFLOqsH/jtZbYLtaJuJjuxetew7l6iOjRpRT3RAFvRk9mqQy7PtL/8&#10;JTa/AQAA//8DAFBLAwQUAAYACAAAACEAan6fddoAAAAHAQAADwAAAGRycy9kb3ducmV2LnhtbEyO&#10;wU7DMBBE70j8g7VI3KjTqm1KiFMhED3BoaUfsIndJGCvQ+ykga9n4QLHpxnNvHw7OStG04fWk4L5&#10;LAFhqPK6pVrB8fXpZgMiRCSN1pNR8GkCbIvLixwz7c+0N+Mh1oJHKGSooImxy6QMVWMchpnvDHF2&#10;8r3DyNjXUvd45nFn5SJJ1tJhS/zQYGceGlO9HwanYDd9rZ5tNT6Wt8dhcbK7jxd8Wyt1fTXd34GI&#10;Zop/ZfjRZ3Uo2Kn0A+kgLHO6WXJVQToHwXm6WjKXvyyLXP73L74BAAD//wMAUEsBAi0AFAAGAAgA&#10;AAAhALaDOJL+AAAA4QEAABMAAAAAAAAAAAAAAAAAAAAAAFtDb250ZW50X1R5cGVzXS54bWxQSwEC&#10;LQAUAAYACAAAACEAOP0h/9YAAACUAQAACwAAAAAAAAAAAAAAAAAvAQAAX3JlbHMvLnJlbHNQSwEC&#10;LQAUAAYACAAAACEA8VsTsrIBAABaAwAADgAAAAAAAAAAAAAAAAAuAgAAZHJzL2Uyb0RvYy54bWxQ&#10;SwECLQAUAAYACAAAACEAan6fddoAAAAHAQAADwAAAAAAAAAAAAAAAAAMBAAAZHJzL2Rvd25yZXYu&#10;eG1sUEsFBgAAAAAEAAQA8wAAABMFAAAAAA==&#10;" strokecolor="windowText" strokeweight="1pt">
                <v:stroke joinstyle="miter"/>
              </v:line>
            </w:pict>
          </mc:Fallback>
        </mc:AlternateContent>
      </w:r>
    </w:p>
    <w:p w14:paraId="7072D239" w14:textId="77777777" w:rsidR="0090625F" w:rsidRPr="00B05DEC" w:rsidRDefault="0090625F" w:rsidP="009062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B05DEC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503F1F21" w14:textId="77777777" w:rsidR="0090625F" w:rsidRDefault="0090625F" w:rsidP="00EA695D">
      <w:pPr>
        <w:spacing w:after="0" w:line="240" w:lineRule="auto"/>
        <w:jc w:val="left"/>
        <w:rPr>
          <w:rFonts w:ascii="Times New Roman" w:eastAsia="Times New Roman" w:hAnsi="Times New Roman" w:cs="Times New Roman"/>
          <w:szCs w:val="20"/>
        </w:rPr>
      </w:pPr>
    </w:p>
    <w:p w14:paraId="1DEA61C1" w14:textId="77777777" w:rsidR="003B5C15" w:rsidRPr="003E3FA5" w:rsidRDefault="003B5C15" w:rsidP="00EA695D">
      <w:pPr>
        <w:spacing w:after="0" w:line="240" w:lineRule="auto"/>
        <w:jc w:val="left"/>
        <w:rPr>
          <w:rFonts w:ascii="Times New Roman" w:eastAsia="Times New Roman" w:hAnsi="Times New Roman" w:cs="Times New Roman"/>
          <w:szCs w:val="20"/>
        </w:rPr>
      </w:pPr>
    </w:p>
    <w:p w14:paraId="209A13DA" w14:textId="6BA6D7F9" w:rsidR="0090625F" w:rsidRPr="003E3FA5" w:rsidRDefault="0090625F" w:rsidP="00811F4C">
      <w:pPr>
        <w:spacing w:after="0" w:line="240" w:lineRule="auto"/>
        <w:jc w:val="left"/>
        <w:rPr>
          <w:rFonts w:ascii="Times New Roman" w:eastAsia="Times New Roman" w:hAnsi="Times New Roman" w:cs="Times New Roman"/>
          <w:szCs w:val="24"/>
        </w:rPr>
      </w:pPr>
      <w:r w:rsidRPr="003E3FA5">
        <w:rPr>
          <w:rFonts w:ascii="Times New Roman" w:eastAsia="Times New Roman" w:hAnsi="Times New Roman" w:cs="Times New Roman"/>
          <w:b/>
          <w:szCs w:val="24"/>
        </w:rPr>
        <w:t>TO</w:t>
      </w:r>
      <w:r w:rsidRPr="003E3FA5">
        <w:rPr>
          <w:rFonts w:ascii="Times New Roman" w:eastAsia="Times New Roman" w:hAnsi="Times New Roman" w:cs="Times New Roman"/>
          <w:szCs w:val="24"/>
        </w:rPr>
        <w:t>:</w:t>
      </w:r>
      <w:r w:rsidR="00AB3E7E">
        <w:rPr>
          <w:rFonts w:ascii="Times New Roman" w:eastAsia="Times New Roman" w:hAnsi="Times New Roman" w:cs="Times New Roman"/>
          <w:szCs w:val="24"/>
        </w:rPr>
        <w:tab/>
      </w:r>
      <w:r w:rsidR="006D4A17">
        <w:rPr>
          <w:rFonts w:ascii="Times New Roman" w:eastAsia="Times New Roman" w:hAnsi="Times New Roman" w:cs="Times New Roman"/>
          <w:szCs w:val="24"/>
        </w:rPr>
        <w:tab/>
      </w:r>
      <w:r w:rsidR="006B35BF">
        <w:rPr>
          <w:rFonts w:ascii="Times New Roman" w:eastAsia="Times New Roman" w:hAnsi="Times New Roman" w:cs="Times New Roman"/>
          <w:szCs w:val="24"/>
        </w:rPr>
        <w:t>Dylan King</w:t>
      </w:r>
      <w:r w:rsidR="003D0943">
        <w:rPr>
          <w:rFonts w:ascii="Times New Roman" w:eastAsia="Times New Roman" w:hAnsi="Times New Roman" w:cs="Times New Roman"/>
          <w:szCs w:val="24"/>
        </w:rPr>
        <w:t xml:space="preserve"> </w:t>
      </w:r>
    </w:p>
    <w:p w14:paraId="51F84406" w14:textId="69E36DFA" w:rsidR="0090625F" w:rsidRPr="003E3FA5" w:rsidRDefault="0090625F" w:rsidP="00201C18">
      <w:pPr>
        <w:spacing w:after="0" w:line="240" w:lineRule="auto"/>
        <w:ind w:left="1440"/>
        <w:jc w:val="left"/>
        <w:rPr>
          <w:rFonts w:ascii="Times New Roman" w:eastAsia="Times New Roman" w:hAnsi="Times New Roman" w:cs="Times New Roman"/>
          <w:szCs w:val="24"/>
        </w:rPr>
      </w:pPr>
      <w:r w:rsidRPr="003E3FA5">
        <w:rPr>
          <w:rFonts w:ascii="Times New Roman" w:eastAsia="Times New Roman" w:hAnsi="Times New Roman" w:cs="Times New Roman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Cs w:val="24"/>
        </w:rPr>
        <w:tab/>
      </w:r>
    </w:p>
    <w:p w14:paraId="3C566C00" w14:textId="77777777" w:rsidR="0090625F" w:rsidRPr="003E3FA5" w:rsidRDefault="0090625F" w:rsidP="00EA695D">
      <w:pPr>
        <w:spacing w:after="0" w:line="240" w:lineRule="auto"/>
        <w:jc w:val="left"/>
        <w:rPr>
          <w:rFonts w:ascii="Times New Roman" w:eastAsia="Times New Roman" w:hAnsi="Times New Roman" w:cs="Times New Roman"/>
          <w:szCs w:val="24"/>
        </w:rPr>
      </w:pPr>
    </w:p>
    <w:p w14:paraId="5A7A2353" w14:textId="2D3E2C95" w:rsidR="0090625F" w:rsidRPr="003E3FA5" w:rsidRDefault="0090625F" w:rsidP="00201C18">
      <w:pPr>
        <w:spacing w:after="0" w:line="240" w:lineRule="auto"/>
        <w:jc w:val="left"/>
        <w:rPr>
          <w:rFonts w:ascii="Times New Roman" w:eastAsia="Times New Roman" w:hAnsi="Times New Roman" w:cs="Times New Roman"/>
          <w:szCs w:val="24"/>
        </w:rPr>
      </w:pPr>
      <w:r w:rsidRPr="003E3FA5">
        <w:rPr>
          <w:rFonts w:ascii="Times New Roman" w:eastAsia="Times New Roman" w:hAnsi="Times New Roman" w:cs="Times New Roman"/>
          <w:b/>
          <w:szCs w:val="24"/>
        </w:rPr>
        <w:t>FROM</w:t>
      </w:r>
      <w:r w:rsidRPr="003E3FA5">
        <w:rPr>
          <w:rFonts w:ascii="Times New Roman" w:eastAsia="Times New Roman" w:hAnsi="Times New Roman" w:cs="Times New Roman"/>
          <w:szCs w:val="24"/>
        </w:rPr>
        <w:t>:</w:t>
      </w:r>
      <w:r w:rsidR="00201C18">
        <w:rPr>
          <w:rFonts w:ascii="Times New Roman" w:eastAsia="Times New Roman" w:hAnsi="Times New Roman" w:cs="Times New Roman"/>
          <w:szCs w:val="24"/>
        </w:rPr>
        <w:tab/>
      </w:r>
      <w:r w:rsidRPr="003E3FA5">
        <w:rPr>
          <w:rFonts w:ascii="Times New Roman" w:eastAsia="Times New Roman" w:hAnsi="Times New Roman" w:cs="Times New Roman"/>
          <w:szCs w:val="24"/>
        </w:rPr>
        <w:t xml:space="preserve">Ethan Blanchard </w:t>
      </w:r>
    </w:p>
    <w:p w14:paraId="1AAA1380" w14:textId="77777777" w:rsidR="0090625F" w:rsidRPr="003E3FA5" w:rsidRDefault="0090625F" w:rsidP="009A2898">
      <w:pPr>
        <w:spacing w:after="0" w:line="240" w:lineRule="auto"/>
        <w:ind w:firstLine="1440"/>
        <w:jc w:val="left"/>
        <w:rPr>
          <w:rFonts w:ascii="Times New Roman" w:eastAsia="Times New Roman" w:hAnsi="Times New Roman" w:cs="Times New Roman"/>
          <w:szCs w:val="24"/>
        </w:rPr>
      </w:pPr>
      <w:r w:rsidRPr="003E3FA5">
        <w:rPr>
          <w:rFonts w:ascii="Times New Roman" w:eastAsia="Times New Roman" w:hAnsi="Times New Roman" w:cs="Times New Roman"/>
          <w:szCs w:val="24"/>
        </w:rPr>
        <w:t>Rate Regulation Division</w:t>
      </w:r>
    </w:p>
    <w:p w14:paraId="09BAE201" w14:textId="77777777" w:rsidR="0090625F" w:rsidRPr="003E3FA5" w:rsidRDefault="0090625F" w:rsidP="00EA695D">
      <w:pPr>
        <w:spacing w:after="0" w:line="240" w:lineRule="auto"/>
        <w:jc w:val="left"/>
        <w:rPr>
          <w:rFonts w:ascii="Times New Roman" w:eastAsia="Times New Roman" w:hAnsi="Times New Roman" w:cs="Times New Roman"/>
          <w:szCs w:val="24"/>
        </w:rPr>
      </w:pPr>
    </w:p>
    <w:p w14:paraId="617D054C" w14:textId="6C406AE3" w:rsidR="0090625F" w:rsidRPr="003E3FA5" w:rsidRDefault="0090625F" w:rsidP="00EA695D">
      <w:pPr>
        <w:spacing w:after="0" w:line="240" w:lineRule="auto"/>
        <w:jc w:val="left"/>
        <w:rPr>
          <w:rFonts w:ascii="Times New Roman" w:eastAsia="Times New Roman" w:hAnsi="Times New Roman" w:cs="Times New Roman"/>
          <w:szCs w:val="24"/>
        </w:rPr>
      </w:pPr>
      <w:r w:rsidRPr="003E3FA5">
        <w:rPr>
          <w:rFonts w:ascii="Times New Roman" w:eastAsia="Times New Roman" w:hAnsi="Times New Roman" w:cs="Times New Roman"/>
          <w:b/>
          <w:szCs w:val="24"/>
        </w:rPr>
        <w:t>DATE:</w:t>
      </w:r>
      <w:r w:rsidRPr="003E3FA5">
        <w:rPr>
          <w:rFonts w:ascii="Times New Roman" w:eastAsia="Times New Roman" w:hAnsi="Times New Roman" w:cs="Times New Roman"/>
          <w:szCs w:val="24"/>
        </w:rPr>
        <w:tab/>
      </w:r>
      <w:r w:rsidR="005645EA">
        <w:rPr>
          <w:rFonts w:ascii="Times New Roman" w:eastAsia="Times New Roman" w:hAnsi="Times New Roman" w:cs="Times New Roman"/>
          <w:szCs w:val="24"/>
        </w:rPr>
        <w:t>November 12</w:t>
      </w:r>
      <w:r>
        <w:rPr>
          <w:rFonts w:ascii="Times New Roman" w:eastAsia="Times New Roman" w:hAnsi="Times New Roman" w:cs="Times New Roman"/>
          <w:szCs w:val="24"/>
        </w:rPr>
        <w:t>, 2024</w:t>
      </w:r>
    </w:p>
    <w:p w14:paraId="144112A6" w14:textId="77777777" w:rsidR="0090625F" w:rsidRPr="003E3FA5" w:rsidRDefault="0090625F" w:rsidP="00901451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1F751C36" w14:textId="1F46FAEA" w:rsidR="0090625F" w:rsidRDefault="0090625F" w:rsidP="0090145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eastAsia="Times New Roman" w:hAnsi="Times New Roman" w:cs="Times New Roman"/>
          <w:bCs/>
          <w:i/>
          <w:iCs/>
          <w:szCs w:val="24"/>
        </w:rPr>
      </w:pPr>
      <w:r w:rsidRPr="00147CE5">
        <w:rPr>
          <w:rFonts w:ascii="Times New Roman" w:eastAsia="Times New Roman" w:hAnsi="Times New Roman" w:cs="Times New Roman"/>
          <w:b/>
          <w:szCs w:val="24"/>
        </w:rPr>
        <w:t>RE</w:t>
      </w:r>
      <w:r w:rsidRPr="00147CE5">
        <w:rPr>
          <w:rFonts w:ascii="Times New Roman" w:eastAsia="Times New Roman" w:hAnsi="Times New Roman" w:cs="Times New Roman"/>
          <w:szCs w:val="24"/>
        </w:rPr>
        <w:t>:</w:t>
      </w:r>
      <w:r w:rsidRPr="00147CE5">
        <w:rPr>
          <w:rFonts w:ascii="Times New Roman" w:eastAsia="Times New Roman" w:hAnsi="Times New Roman" w:cs="Times New Roman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Cs w:val="24"/>
        </w:rPr>
        <w:t xml:space="preserve">Docket No. </w:t>
      </w:r>
      <w:r w:rsidR="0095215D">
        <w:rPr>
          <w:rFonts w:ascii="Times New Roman" w:eastAsia="Times New Roman" w:hAnsi="Times New Roman" w:cs="Times New Roman"/>
          <w:bCs/>
          <w:iCs/>
          <w:szCs w:val="24"/>
        </w:rPr>
        <w:t>56544</w:t>
      </w:r>
      <w:r w:rsidRPr="00147CE5">
        <w:rPr>
          <w:rFonts w:ascii="Times New Roman" w:eastAsia="Times New Roman" w:hAnsi="Times New Roman" w:cs="Times New Roman"/>
          <w:bCs/>
          <w:i/>
          <w:iCs/>
          <w:szCs w:val="24"/>
        </w:rPr>
        <w:t xml:space="preserve"> – </w:t>
      </w:r>
      <w:bookmarkEnd w:id="0"/>
      <w:r w:rsidRPr="00147CE5">
        <w:rPr>
          <w:rFonts w:ascii="Times New Roman" w:eastAsia="Times New Roman" w:hAnsi="Times New Roman" w:cs="Times New Roman"/>
          <w:bCs/>
          <w:i/>
          <w:iCs/>
          <w:szCs w:val="24"/>
        </w:rPr>
        <w:t>Application of</w:t>
      </w:r>
      <w:r>
        <w:rPr>
          <w:rFonts w:ascii="Times New Roman" w:eastAsia="Times New Roman" w:hAnsi="Times New Roman" w:cs="Times New Roman"/>
          <w:bCs/>
          <w:i/>
          <w:iCs/>
          <w:szCs w:val="24"/>
        </w:rPr>
        <w:t xml:space="preserve"> </w:t>
      </w:r>
      <w:bookmarkStart w:id="1" w:name="_Hlk171681506"/>
      <w:r w:rsidR="0095215D">
        <w:rPr>
          <w:rFonts w:ascii="Times New Roman" w:eastAsia="Times New Roman" w:hAnsi="Times New Roman" w:cs="Times New Roman"/>
          <w:bCs/>
          <w:i/>
          <w:iCs/>
          <w:szCs w:val="24"/>
        </w:rPr>
        <w:t>Entergy Texas</w:t>
      </w:r>
      <w:r w:rsidR="00FD6A70">
        <w:rPr>
          <w:rFonts w:ascii="Times New Roman" w:eastAsia="Times New Roman" w:hAnsi="Times New Roman" w:cs="Times New Roman"/>
          <w:bCs/>
          <w:i/>
          <w:iCs/>
          <w:szCs w:val="24"/>
        </w:rPr>
        <w:t xml:space="preserve">, </w:t>
      </w:r>
      <w:r w:rsidR="0095215D">
        <w:rPr>
          <w:rFonts w:ascii="Times New Roman" w:eastAsia="Times New Roman" w:hAnsi="Times New Roman" w:cs="Times New Roman"/>
          <w:bCs/>
          <w:i/>
          <w:iCs/>
          <w:szCs w:val="24"/>
        </w:rPr>
        <w:t>Inc.</w:t>
      </w:r>
      <w:bookmarkEnd w:id="1"/>
      <w:r w:rsidR="0095215D">
        <w:rPr>
          <w:rFonts w:ascii="Times New Roman" w:eastAsia="Times New Roman" w:hAnsi="Times New Roman" w:cs="Times New Roman"/>
          <w:bCs/>
          <w:i/>
          <w:iCs/>
          <w:szCs w:val="24"/>
        </w:rPr>
        <w:t xml:space="preserve"> </w:t>
      </w:r>
      <w:r w:rsidR="00723E9E">
        <w:rPr>
          <w:rFonts w:ascii="Times New Roman" w:eastAsia="Times New Roman" w:hAnsi="Times New Roman" w:cs="Times New Roman"/>
          <w:bCs/>
          <w:i/>
          <w:iCs/>
          <w:szCs w:val="24"/>
        </w:rPr>
        <w:t>to Adjust its Energy Efficiency Cost Recovery Factor</w:t>
      </w:r>
    </w:p>
    <w:p w14:paraId="2FBE2034" w14:textId="77777777" w:rsidR="00337818" w:rsidRPr="003E3FA5" w:rsidRDefault="00337818" w:rsidP="0090145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eastAsia="Times New Roman" w:hAnsi="Times New Roman" w:cs="Times New Roman"/>
          <w:b/>
          <w:bCs/>
          <w:i/>
          <w:iCs/>
          <w:szCs w:val="24"/>
        </w:rPr>
      </w:pPr>
    </w:p>
    <w:p w14:paraId="6AC7F60B" w14:textId="77777777" w:rsidR="0090625F" w:rsidRPr="003E3FA5" w:rsidRDefault="0090625F" w:rsidP="0090625F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4A203680" w14:textId="1394CEB4" w:rsidR="00E87A21" w:rsidRDefault="000A7F0D" w:rsidP="0085620D">
      <w:pPr>
        <w:widowControl w:val="0"/>
        <w:ind w:firstLine="720"/>
        <w:rPr>
          <w:rFonts w:cstheme="minorHAnsi"/>
          <w:szCs w:val="24"/>
        </w:rPr>
      </w:pPr>
      <w:r w:rsidRPr="0085620D">
        <w:rPr>
          <w:rFonts w:cstheme="minorHAnsi"/>
          <w:szCs w:val="24"/>
        </w:rPr>
        <w:t xml:space="preserve">On </w:t>
      </w:r>
      <w:r w:rsidR="00723E9E">
        <w:rPr>
          <w:rFonts w:cstheme="minorHAnsi"/>
          <w:szCs w:val="24"/>
        </w:rPr>
        <w:t xml:space="preserve">May </w:t>
      </w:r>
      <w:r w:rsidR="0095215D">
        <w:rPr>
          <w:rFonts w:cstheme="minorHAnsi"/>
          <w:szCs w:val="24"/>
        </w:rPr>
        <w:t>1</w:t>
      </w:r>
      <w:r w:rsidRPr="0085620D">
        <w:rPr>
          <w:rFonts w:cstheme="minorHAnsi"/>
          <w:szCs w:val="24"/>
        </w:rPr>
        <w:t xml:space="preserve">, 2024, </w:t>
      </w:r>
      <w:r w:rsidR="0095215D" w:rsidRPr="0095215D">
        <w:rPr>
          <w:rFonts w:cstheme="minorHAnsi"/>
          <w:szCs w:val="24"/>
        </w:rPr>
        <w:t>Entergy Texas, Inc.</w:t>
      </w:r>
      <w:r w:rsidR="00FD6A70" w:rsidRPr="00FD6A70">
        <w:rPr>
          <w:rFonts w:cstheme="minorHAnsi"/>
          <w:szCs w:val="24"/>
        </w:rPr>
        <w:t xml:space="preserve"> </w:t>
      </w:r>
      <w:r w:rsidRPr="0085620D">
        <w:rPr>
          <w:rFonts w:cstheme="minorHAnsi"/>
          <w:szCs w:val="24"/>
        </w:rPr>
        <w:t>(</w:t>
      </w:r>
      <w:r w:rsidR="0095215D">
        <w:rPr>
          <w:rFonts w:cstheme="minorHAnsi"/>
          <w:szCs w:val="24"/>
        </w:rPr>
        <w:t>ETI</w:t>
      </w:r>
      <w:r w:rsidRPr="0085620D">
        <w:rPr>
          <w:rFonts w:cstheme="minorHAnsi"/>
          <w:szCs w:val="24"/>
        </w:rPr>
        <w:t xml:space="preserve">) filed an application to </w:t>
      </w:r>
      <w:r w:rsidR="00723E9E" w:rsidRPr="006A01F8">
        <w:rPr>
          <w:rFonts w:cstheme="minorHAnsi"/>
          <w:szCs w:val="24"/>
        </w:rPr>
        <w:t xml:space="preserve">adjust </w:t>
      </w:r>
      <w:r w:rsidRPr="006A01F8">
        <w:rPr>
          <w:rFonts w:cstheme="minorHAnsi"/>
          <w:szCs w:val="24"/>
        </w:rPr>
        <w:t xml:space="preserve">its </w:t>
      </w:r>
      <w:r w:rsidR="00723E9E" w:rsidRPr="006A01F8">
        <w:rPr>
          <w:rFonts w:cstheme="minorHAnsi"/>
          <w:szCs w:val="24"/>
        </w:rPr>
        <w:t xml:space="preserve">Energy Efficiency Cost </w:t>
      </w:r>
      <w:r w:rsidR="00723E9E" w:rsidRPr="007E447D">
        <w:rPr>
          <w:rFonts w:cstheme="minorHAnsi"/>
          <w:szCs w:val="24"/>
        </w:rPr>
        <w:t>Recovery Factor</w:t>
      </w:r>
      <w:r w:rsidR="00464120" w:rsidRPr="007E447D">
        <w:rPr>
          <w:rFonts w:cstheme="minorHAnsi"/>
          <w:szCs w:val="24"/>
        </w:rPr>
        <w:t xml:space="preserve"> </w:t>
      </w:r>
      <w:r w:rsidRPr="007E447D">
        <w:rPr>
          <w:rFonts w:cstheme="minorHAnsi"/>
          <w:szCs w:val="24"/>
        </w:rPr>
        <w:t>(</w:t>
      </w:r>
      <w:r w:rsidR="00464120" w:rsidRPr="007E447D">
        <w:rPr>
          <w:rFonts w:cstheme="minorHAnsi"/>
          <w:szCs w:val="24"/>
        </w:rPr>
        <w:t>EECRF</w:t>
      </w:r>
      <w:r w:rsidRPr="007E447D">
        <w:rPr>
          <w:rFonts w:cstheme="minorHAnsi"/>
          <w:szCs w:val="24"/>
        </w:rPr>
        <w:t>)</w:t>
      </w:r>
      <w:r w:rsidR="007E64C8" w:rsidRPr="007E447D">
        <w:rPr>
          <w:rFonts w:cstheme="minorHAnsi"/>
          <w:szCs w:val="24"/>
        </w:rPr>
        <w:t xml:space="preserve"> for </w:t>
      </w:r>
      <w:r w:rsidR="00B50595" w:rsidRPr="007E447D">
        <w:rPr>
          <w:rFonts w:cstheme="minorHAnsi"/>
          <w:szCs w:val="24"/>
        </w:rPr>
        <w:t xml:space="preserve">the </w:t>
      </w:r>
      <w:r w:rsidR="007E64C8" w:rsidRPr="007E447D">
        <w:rPr>
          <w:rFonts w:cstheme="minorHAnsi"/>
          <w:szCs w:val="24"/>
        </w:rPr>
        <w:t>2025</w:t>
      </w:r>
      <w:r w:rsidR="00B50595" w:rsidRPr="007E447D">
        <w:rPr>
          <w:rFonts w:cstheme="minorHAnsi"/>
          <w:szCs w:val="24"/>
        </w:rPr>
        <w:t xml:space="preserve"> program year</w:t>
      </w:r>
      <w:r w:rsidR="00171F9E" w:rsidRPr="007E447D">
        <w:rPr>
          <w:rFonts w:cstheme="minorHAnsi"/>
          <w:szCs w:val="24"/>
        </w:rPr>
        <w:t xml:space="preserve"> (PY 2025)</w:t>
      </w:r>
      <w:r w:rsidR="007E64C8" w:rsidRPr="007E447D">
        <w:rPr>
          <w:rFonts w:cstheme="minorHAnsi"/>
          <w:szCs w:val="24"/>
        </w:rPr>
        <w:t>.</w:t>
      </w:r>
      <w:r w:rsidR="00B846A5" w:rsidRPr="007E447D">
        <w:rPr>
          <w:rFonts w:cstheme="minorHAnsi"/>
          <w:szCs w:val="24"/>
        </w:rPr>
        <w:t xml:space="preserve"> </w:t>
      </w:r>
      <w:r w:rsidR="0095215D" w:rsidRPr="007E447D">
        <w:rPr>
          <w:rFonts w:cstheme="minorHAnsi"/>
          <w:szCs w:val="24"/>
        </w:rPr>
        <w:t>ETI</w:t>
      </w:r>
      <w:r w:rsidR="00B846A5" w:rsidRPr="007E447D">
        <w:rPr>
          <w:rFonts w:cstheme="minorHAnsi"/>
          <w:szCs w:val="24"/>
        </w:rPr>
        <w:t xml:space="preserve"> </w:t>
      </w:r>
      <w:r w:rsidR="00266682" w:rsidRPr="007E447D">
        <w:rPr>
          <w:rFonts w:cstheme="minorHAnsi"/>
          <w:szCs w:val="24"/>
        </w:rPr>
        <w:t>sought</w:t>
      </w:r>
      <w:r w:rsidR="00B846A5" w:rsidRPr="007E447D">
        <w:rPr>
          <w:rFonts w:cstheme="minorHAnsi"/>
          <w:szCs w:val="24"/>
        </w:rPr>
        <w:t xml:space="preserve"> approval of its 2025 EECRF in the amount of $</w:t>
      </w:r>
      <w:r w:rsidR="000047AD" w:rsidRPr="007E447D">
        <w:rPr>
          <w:rFonts w:cstheme="minorHAnsi"/>
          <w:szCs w:val="24"/>
        </w:rPr>
        <w:t>10</w:t>
      </w:r>
      <w:r w:rsidR="00213F06" w:rsidRPr="007E447D">
        <w:rPr>
          <w:rFonts w:cstheme="minorHAnsi"/>
          <w:szCs w:val="24"/>
        </w:rPr>
        <w:t>,522,323</w:t>
      </w:r>
      <w:r w:rsidR="00012AE8" w:rsidRPr="007E447D">
        <w:rPr>
          <w:rFonts w:cstheme="minorHAnsi"/>
          <w:szCs w:val="24"/>
        </w:rPr>
        <w:t xml:space="preserve">. </w:t>
      </w:r>
      <w:r w:rsidR="0058494D" w:rsidRPr="007E447D">
        <w:rPr>
          <w:rFonts w:cstheme="minorHAnsi"/>
          <w:szCs w:val="24"/>
        </w:rPr>
        <w:t>As part of the Stipulation and Settlement Agreement (Stipulation) the parties to this docket have agreed</w:t>
      </w:r>
      <w:r w:rsidR="007E447D" w:rsidRPr="007E447D">
        <w:rPr>
          <w:rFonts w:cstheme="minorHAnsi"/>
          <w:szCs w:val="24"/>
        </w:rPr>
        <w:t xml:space="preserve"> to a $1,253 reduction, resulting in a 2025 EECRF of $10,521,070 composed of the following</w:t>
      </w:r>
      <w:r w:rsidR="00E87A21" w:rsidRPr="007E447D">
        <w:rPr>
          <w:rFonts w:cstheme="minorHAnsi"/>
          <w:szCs w:val="24"/>
        </w:rPr>
        <w:t>:</w:t>
      </w:r>
    </w:p>
    <w:p w14:paraId="33F2436A" w14:textId="30E1E1F4" w:rsidR="00AF36B9" w:rsidRDefault="003F1587" w:rsidP="00F86630">
      <w:pPr>
        <w:pStyle w:val="ListParagraph"/>
        <w:widowControl w:val="0"/>
        <w:numPr>
          <w:ilvl w:val="0"/>
          <w:numId w:val="6"/>
        </w:numPr>
        <w:ind w:left="720"/>
        <w:rPr>
          <w:rFonts w:cstheme="minorHAnsi"/>
          <w:szCs w:val="24"/>
        </w:rPr>
      </w:pPr>
      <w:r>
        <w:rPr>
          <w:rFonts w:cstheme="minorHAnsi"/>
          <w:szCs w:val="24"/>
        </w:rPr>
        <w:t>$</w:t>
      </w:r>
      <w:r w:rsidR="003168B5">
        <w:rPr>
          <w:rFonts w:cstheme="minorHAnsi"/>
          <w:szCs w:val="24"/>
        </w:rPr>
        <w:t>8,7</w:t>
      </w:r>
      <w:r w:rsidR="0009717A">
        <w:rPr>
          <w:rFonts w:cstheme="minorHAnsi"/>
          <w:szCs w:val="24"/>
        </w:rPr>
        <w:t>46,010</w:t>
      </w:r>
      <w:r>
        <w:rPr>
          <w:rFonts w:cstheme="minorHAnsi"/>
          <w:szCs w:val="24"/>
        </w:rPr>
        <w:t xml:space="preserve"> in </w:t>
      </w:r>
      <w:r w:rsidR="0095215D">
        <w:rPr>
          <w:rFonts w:cstheme="minorHAnsi"/>
          <w:szCs w:val="24"/>
        </w:rPr>
        <w:t>ETI</w:t>
      </w:r>
      <w:r>
        <w:rPr>
          <w:rFonts w:cstheme="minorHAnsi"/>
          <w:szCs w:val="24"/>
        </w:rPr>
        <w:t xml:space="preserve">’s forecasted PY 2025 </w:t>
      </w:r>
      <w:r w:rsidR="00E716FB">
        <w:rPr>
          <w:rFonts w:cstheme="minorHAnsi"/>
          <w:szCs w:val="24"/>
        </w:rPr>
        <w:t>energy efficiency costs</w:t>
      </w:r>
      <w:r w:rsidR="00A32AB3">
        <w:rPr>
          <w:rFonts w:cstheme="minorHAnsi"/>
          <w:szCs w:val="24"/>
        </w:rPr>
        <w:t xml:space="preserve">, </w:t>
      </w:r>
      <w:r>
        <w:rPr>
          <w:rFonts w:cstheme="minorHAnsi"/>
          <w:szCs w:val="24"/>
        </w:rPr>
        <w:t xml:space="preserve">in turn </w:t>
      </w:r>
      <w:r w:rsidR="00A32AB3">
        <w:rPr>
          <w:rFonts w:cstheme="minorHAnsi"/>
          <w:szCs w:val="24"/>
        </w:rPr>
        <w:t>composed of the following:</w:t>
      </w:r>
    </w:p>
    <w:p w14:paraId="0A8A1BDC" w14:textId="1FCCBCE6" w:rsidR="009857B6" w:rsidRPr="00807619" w:rsidRDefault="009857B6" w:rsidP="00807619">
      <w:pPr>
        <w:pStyle w:val="ListParagraph"/>
        <w:widowControl w:val="0"/>
        <w:numPr>
          <w:ilvl w:val="1"/>
          <w:numId w:val="6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$</w:t>
      </w:r>
      <w:r w:rsidR="0009717A">
        <w:rPr>
          <w:rFonts w:cstheme="minorHAnsi"/>
          <w:szCs w:val="24"/>
        </w:rPr>
        <w:t>7,836,250</w:t>
      </w:r>
      <w:r w:rsidR="00E87194" w:rsidRPr="00807619">
        <w:rPr>
          <w:rFonts w:cstheme="minorHAnsi"/>
          <w:szCs w:val="24"/>
        </w:rPr>
        <w:t xml:space="preserve"> in </w:t>
      </w:r>
      <w:r w:rsidR="00565CAE" w:rsidRPr="00807619">
        <w:rPr>
          <w:rFonts w:cstheme="minorHAnsi"/>
          <w:szCs w:val="24"/>
        </w:rPr>
        <w:t xml:space="preserve">PY 2025 </w:t>
      </w:r>
      <w:r w:rsidR="00E87194" w:rsidRPr="00807619">
        <w:rPr>
          <w:rFonts w:cstheme="minorHAnsi"/>
          <w:szCs w:val="24"/>
        </w:rPr>
        <w:t>budgeted incentive payments.</w:t>
      </w:r>
    </w:p>
    <w:p w14:paraId="63FCB6D0" w14:textId="5DB73689" w:rsidR="00A64602" w:rsidRDefault="00A64602" w:rsidP="009857B6">
      <w:pPr>
        <w:pStyle w:val="ListParagraph"/>
        <w:widowControl w:val="0"/>
        <w:numPr>
          <w:ilvl w:val="1"/>
          <w:numId w:val="6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$</w:t>
      </w:r>
      <w:r w:rsidR="00796663">
        <w:rPr>
          <w:rFonts w:cstheme="minorHAnsi"/>
          <w:szCs w:val="24"/>
        </w:rPr>
        <w:t>726,760</w:t>
      </w:r>
      <w:r>
        <w:rPr>
          <w:rFonts w:cstheme="minorHAnsi"/>
          <w:szCs w:val="24"/>
        </w:rPr>
        <w:t xml:space="preserve"> in program-specific administrative costs</w:t>
      </w:r>
      <w:r w:rsidR="00B07C3F">
        <w:rPr>
          <w:rFonts w:cstheme="minorHAnsi"/>
          <w:szCs w:val="24"/>
        </w:rPr>
        <w:t>.</w:t>
      </w:r>
      <w:r w:rsidR="0035786A">
        <w:rPr>
          <w:rFonts w:cstheme="minorHAnsi"/>
          <w:szCs w:val="24"/>
        </w:rPr>
        <w:t xml:space="preserve"> Commercial program</w:t>
      </w:r>
      <w:r w:rsidR="0025242E">
        <w:rPr>
          <w:rFonts w:cstheme="minorHAnsi"/>
          <w:szCs w:val="24"/>
        </w:rPr>
        <w:t xml:space="preserve"> cost</w:t>
      </w:r>
      <w:r w:rsidR="00F74A97">
        <w:rPr>
          <w:rFonts w:cstheme="minorHAnsi"/>
          <w:szCs w:val="24"/>
        </w:rPr>
        <w:t>s</w:t>
      </w:r>
      <w:r w:rsidR="0035786A">
        <w:rPr>
          <w:rFonts w:cstheme="minorHAnsi"/>
          <w:szCs w:val="24"/>
        </w:rPr>
        <w:t xml:space="preserve"> are allocated </w:t>
      </w:r>
      <w:r w:rsidR="0025242E">
        <w:rPr>
          <w:rFonts w:cstheme="minorHAnsi"/>
          <w:szCs w:val="24"/>
        </w:rPr>
        <w:t xml:space="preserve">to commercial rate classes </w:t>
      </w:r>
      <w:r w:rsidR="0035786A">
        <w:rPr>
          <w:rFonts w:cstheme="minorHAnsi"/>
          <w:szCs w:val="24"/>
        </w:rPr>
        <w:t xml:space="preserve">according </w:t>
      </w:r>
      <w:r w:rsidR="005F520B">
        <w:rPr>
          <w:rFonts w:cstheme="minorHAnsi"/>
          <w:szCs w:val="24"/>
        </w:rPr>
        <w:t>PY 2023 incentive payments.</w:t>
      </w:r>
    </w:p>
    <w:p w14:paraId="5D03824F" w14:textId="300C9E9C" w:rsidR="0017754C" w:rsidRDefault="0017754C" w:rsidP="0017754C">
      <w:pPr>
        <w:pStyle w:val="ListParagraph"/>
        <w:widowControl w:val="0"/>
        <w:numPr>
          <w:ilvl w:val="1"/>
          <w:numId w:val="6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$</w:t>
      </w:r>
      <w:r w:rsidR="00F847A8">
        <w:rPr>
          <w:rFonts w:cstheme="minorHAnsi"/>
          <w:szCs w:val="24"/>
        </w:rPr>
        <w:t>3</w:t>
      </w:r>
      <w:r w:rsidR="00A034F8">
        <w:rPr>
          <w:rFonts w:cstheme="minorHAnsi"/>
          <w:szCs w:val="24"/>
        </w:rPr>
        <w:t>3</w:t>
      </w:r>
      <w:r>
        <w:rPr>
          <w:rFonts w:cstheme="minorHAnsi"/>
          <w:szCs w:val="24"/>
        </w:rPr>
        <w:t>,000 in research and development</w:t>
      </w:r>
      <w:r w:rsidR="00B14FE2">
        <w:rPr>
          <w:rFonts w:cstheme="minorHAnsi"/>
          <w:szCs w:val="24"/>
        </w:rPr>
        <w:t xml:space="preserve"> </w:t>
      </w:r>
      <w:r w:rsidR="007035A0">
        <w:rPr>
          <w:rFonts w:cstheme="minorHAnsi"/>
          <w:szCs w:val="24"/>
        </w:rPr>
        <w:t xml:space="preserve">cost </w:t>
      </w:r>
      <w:r>
        <w:rPr>
          <w:rFonts w:cstheme="minorHAnsi"/>
          <w:szCs w:val="24"/>
        </w:rPr>
        <w:t>allocated</w:t>
      </w:r>
      <w:r w:rsidR="00FF10CF">
        <w:rPr>
          <w:rFonts w:cstheme="minorHAnsi"/>
          <w:szCs w:val="24"/>
        </w:rPr>
        <w:t xml:space="preserve"> to all rate classes</w:t>
      </w:r>
      <w:r>
        <w:rPr>
          <w:rFonts w:cstheme="minorHAnsi"/>
          <w:szCs w:val="24"/>
        </w:rPr>
        <w:t xml:space="preserve"> </w:t>
      </w:r>
      <w:r w:rsidR="00EF6260">
        <w:rPr>
          <w:rFonts w:cstheme="minorHAnsi"/>
          <w:szCs w:val="24"/>
        </w:rPr>
        <w:t xml:space="preserve">according to </w:t>
      </w:r>
      <w:r w:rsidR="00D050FD">
        <w:rPr>
          <w:rFonts w:cstheme="minorHAnsi"/>
          <w:szCs w:val="24"/>
        </w:rPr>
        <w:t xml:space="preserve">the allocation of </w:t>
      </w:r>
      <w:r w:rsidR="0037343E">
        <w:rPr>
          <w:rFonts w:cstheme="minorHAnsi"/>
          <w:szCs w:val="24"/>
        </w:rPr>
        <w:t xml:space="preserve">program-specific </w:t>
      </w:r>
      <w:r w:rsidR="00EF6260">
        <w:rPr>
          <w:rFonts w:cstheme="minorHAnsi"/>
          <w:szCs w:val="24"/>
        </w:rPr>
        <w:t xml:space="preserve">administrative costs. </w:t>
      </w:r>
    </w:p>
    <w:p w14:paraId="601B46C0" w14:textId="11A82F22" w:rsidR="007035A0" w:rsidRPr="0017754C" w:rsidRDefault="007035A0" w:rsidP="0017754C">
      <w:pPr>
        <w:pStyle w:val="ListParagraph"/>
        <w:widowControl w:val="0"/>
        <w:numPr>
          <w:ilvl w:val="1"/>
          <w:numId w:val="6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$150,000 in research and development cost directly assigned to </w:t>
      </w:r>
      <w:r w:rsidR="00EA5B92">
        <w:rPr>
          <w:rFonts w:cstheme="minorHAnsi"/>
          <w:szCs w:val="24"/>
        </w:rPr>
        <w:t xml:space="preserve">the </w:t>
      </w:r>
      <w:r w:rsidR="005120C4">
        <w:rPr>
          <w:rFonts w:cstheme="minorHAnsi"/>
          <w:szCs w:val="24"/>
        </w:rPr>
        <w:t>Residential rate</w:t>
      </w:r>
      <w:r w:rsidR="0035080D">
        <w:rPr>
          <w:rFonts w:cstheme="minorHAnsi"/>
          <w:szCs w:val="24"/>
        </w:rPr>
        <w:t xml:space="preserve"> class</w:t>
      </w:r>
      <w:r w:rsidR="00EA5B92">
        <w:rPr>
          <w:rFonts w:cstheme="minorHAnsi"/>
          <w:szCs w:val="24"/>
        </w:rPr>
        <w:t>.</w:t>
      </w:r>
    </w:p>
    <w:p w14:paraId="588D31B5" w14:textId="116FF6FA" w:rsidR="00D84DB6" w:rsidRDefault="00D84DB6" w:rsidP="00D84DB6">
      <w:pPr>
        <w:pStyle w:val="ListParagraph"/>
        <w:widowControl w:val="0"/>
        <w:numPr>
          <w:ilvl w:val="0"/>
          <w:numId w:val="6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$3,232,686 of performance bonus, allocated according to PY 2023 program costs.</w:t>
      </w:r>
    </w:p>
    <w:p w14:paraId="69C632EF" w14:textId="48A00AA3" w:rsidR="000240C2" w:rsidRDefault="00552476" w:rsidP="000240C2">
      <w:pPr>
        <w:pStyle w:val="ListParagraph"/>
        <w:widowControl w:val="0"/>
        <w:numPr>
          <w:ilvl w:val="0"/>
          <w:numId w:val="6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$</w:t>
      </w:r>
      <w:r w:rsidR="002B5BED">
        <w:rPr>
          <w:rFonts w:cstheme="minorHAnsi"/>
          <w:szCs w:val="24"/>
        </w:rPr>
        <w:t xml:space="preserve">93,735 </w:t>
      </w:r>
      <w:r>
        <w:rPr>
          <w:rFonts w:cstheme="minorHAnsi"/>
          <w:szCs w:val="24"/>
        </w:rPr>
        <w:t>in forecasted PY 2025</w:t>
      </w:r>
      <w:r w:rsidR="00875C35">
        <w:rPr>
          <w:rFonts w:cstheme="minorHAnsi"/>
          <w:szCs w:val="24"/>
        </w:rPr>
        <w:t xml:space="preserve"> evaluation, measurement, &amp; verification (EM&amp;V) costs</w:t>
      </w:r>
      <w:r w:rsidR="00CF4E6E">
        <w:rPr>
          <w:rFonts w:cstheme="minorHAnsi"/>
          <w:szCs w:val="24"/>
        </w:rPr>
        <w:t xml:space="preserve">, which </w:t>
      </w:r>
      <w:r>
        <w:rPr>
          <w:rFonts w:cstheme="minorHAnsi"/>
          <w:szCs w:val="24"/>
        </w:rPr>
        <w:t>are</w:t>
      </w:r>
      <w:r w:rsidR="00A1675E">
        <w:rPr>
          <w:rFonts w:cstheme="minorHAnsi"/>
          <w:szCs w:val="24"/>
        </w:rPr>
        <w:t xml:space="preserve"> directly </w:t>
      </w:r>
      <w:r w:rsidR="00D5517B">
        <w:rPr>
          <w:rFonts w:cstheme="minorHAnsi"/>
          <w:szCs w:val="24"/>
        </w:rPr>
        <w:t xml:space="preserve">assigned to </w:t>
      </w:r>
      <w:r w:rsidR="0095215D">
        <w:rPr>
          <w:rFonts w:cstheme="minorHAnsi"/>
          <w:szCs w:val="24"/>
        </w:rPr>
        <w:t>ETI</w:t>
      </w:r>
      <w:r w:rsidR="00D5517B">
        <w:rPr>
          <w:rFonts w:cstheme="minorHAnsi"/>
          <w:szCs w:val="24"/>
        </w:rPr>
        <w:t xml:space="preserve">’s </w:t>
      </w:r>
      <w:r w:rsidR="00867979">
        <w:rPr>
          <w:rFonts w:cstheme="minorHAnsi"/>
          <w:szCs w:val="24"/>
        </w:rPr>
        <w:t>Energy Efficiency programs, which are in turn</w:t>
      </w:r>
      <w:r w:rsidR="00CF4E6E">
        <w:rPr>
          <w:rFonts w:cstheme="minorHAnsi"/>
          <w:szCs w:val="24"/>
        </w:rPr>
        <w:t xml:space="preserve"> allocated to </w:t>
      </w:r>
      <w:r w:rsidR="0095215D">
        <w:rPr>
          <w:rFonts w:cstheme="minorHAnsi"/>
          <w:szCs w:val="24"/>
        </w:rPr>
        <w:t>ETI</w:t>
      </w:r>
      <w:r w:rsidR="00CF4E6E">
        <w:rPr>
          <w:rFonts w:cstheme="minorHAnsi"/>
          <w:szCs w:val="24"/>
        </w:rPr>
        <w:t xml:space="preserve">’s rate classes </w:t>
      </w:r>
      <w:r w:rsidR="00565CAE" w:rsidRPr="005120C4">
        <w:rPr>
          <w:rFonts w:cstheme="minorHAnsi"/>
          <w:szCs w:val="24"/>
        </w:rPr>
        <w:t>according to</w:t>
      </w:r>
      <w:r w:rsidR="00232F6E">
        <w:rPr>
          <w:rFonts w:cstheme="minorHAnsi"/>
          <w:szCs w:val="24"/>
        </w:rPr>
        <w:t xml:space="preserve"> actual</w:t>
      </w:r>
      <w:r w:rsidR="00565CAE" w:rsidRPr="005120C4">
        <w:rPr>
          <w:rFonts w:cstheme="minorHAnsi"/>
          <w:szCs w:val="24"/>
        </w:rPr>
        <w:t xml:space="preserve"> PY 202</w:t>
      </w:r>
      <w:r w:rsidR="00A914A4" w:rsidRPr="005120C4">
        <w:rPr>
          <w:rFonts w:cstheme="minorHAnsi"/>
          <w:szCs w:val="24"/>
        </w:rPr>
        <w:t>3</w:t>
      </w:r>
      <w:r w:rsidR="00CF4E6E" w:rsidRPr="005120C4">
        <w:rPr>
          <w:rFonts w:cstheme="minorHAnsi"/>
          <w:szCs w:val="24"/>
        </w:rPr>
        <w:t xml:space="preserve"> incentive payments.</w:t>
      </w:r>
    </w:p>
    <w:p w14:paraId="50BFC062" w14:textId="38CE76F3" w:rsidR="00384C6C" w:rsidRDefault="00B51FC8" w:rsidP="000240C2">
      <w:pPr>
        <w:pStyle w:val="ListParagraph"/>
        <w:widowControl w:val="0"/>
        <w:numPr>
          <w:ilvl w:val="0"/>
          <w:numId w:val="6"/>
        </w:numPr>
        <w:rPr>
          <w:rFonts w:cstheme="minorHAnsi"/>
          <w:szCs w:val="24"/>
        </w:rPr>
      </w:pPr>
      <w:r w:rsidRPr="00384C6C">
        <w:rPr>
          <w:rFonts w:cstheme="minorHAnsi"/>
          <w:szCs w:val="24"/>
        </w:rPr>
        <w:t>$</w:t>
      </w:r>
      <w:r w:rsidR="00C86C12">
        <w:rPr>
          <w:rFonts w:cstheme="minorHAnsi"/>
          <w:szCs w:val="24"/>
        </w:rPr>
        <w:t>(</w:t>
      </w:r>
      <w:r w:rsidR="00A1194E">
        <w:rPr>
          <w:rFonts w:cstheme="minorHAnsi"/>
          <w:szCs w:val="24"/>
        </w:rPr>
        <w:t>1,5</w:t>
      </w:r>
      <w:r w:rsidR="00657459">
        <w:rPr>
          <w:rFonts w:cstheme="minorHAnsi"/>
          <w:szCs w:val="24"/>
        </w:rPr>
        <w:t>92</w:t>
      </w:r>
      <w:r w:rsidR="00A1194E">
        <w:rPr>
          <w:rFonts w:cstheme="minorHAnsi"/>
          <w:szCs w:val="24"/>
        </w:rPr>
        <w:t>,</w:t>
      </w:r>
      <w:r w:rsidR="0045653B">
        <w:rPr>
          <w:rFonts w:cstheme="minorHAnsi"/>
          <w:szCs w:val="24"/>
        </w:rPr>
        <w:t>145</w:t>
      </w:r>
      <w:r w:rsidR="00C86C12">
        <w:rPr>
          <w:rFonts w:cstheme="minorHAnsi"/>
          <w:szCs w:val="24"/>
        </w:rPr>
        <w:t>)</w:t>
      </w:r>
      <w:r w:rsidR="00E86584">
        <w:rPr>
          <w:rFonts w:cstheme="minorHAnsi"/>
          <w:szCs w:val="24"/>
        </w:rPr>
        <w:t xml:space="preserve"> </w:t>
      </w:r>
      <w:r w:rsidRPr="00384C6C">
        <w:rPr>
          <w:rFonts w:cstheme="minorHAnsi"/>
          <w:szCs w:val="24"/>
        </w:rPr>
        <w:t xml:space="preserve">for the </w:t>
      </w:r>
      <w:r w:rsidR="00B07C3F" w:rsidRPr="00384C6C">
        <w:rPr>
          <w:rFonts w:cstheme="minorHAnsi"/>
          <w:szCs w:val="24"/>
        </w:rPr>
        <w:t xml:space="preserve">overall </w:t>
      </w:r>
      <w:r w:rsidR="00C86C12">
        <w:rPr>
          <w:rFonts w:cstheme="minorHAnsi"/>
          <w:szCs w:val="24"/>
        </w:rPr>
        <w:t>over</w:t>
      </w:r>
      <w:r w:rsidRPr="00384C6C">
        <w:rPr>
          <w:rFonts w:cstheme="minorHAnsi"/>
          <w:szCs w:val="24"/>
        </w:rPr>
        <w:t xml:space="preserve">-recovery </w:t>
      </w:r>
      <w:r w:rsidR="00552FB6" w:rsidRPr="00384C6C">
        <w:rPr>
          <w:rFonts w:cstheme="minorHAnsi"/>
          <w:szCs w:val="24"/>
        </w:rPr>
        <w:t xml:space="preserve">of </w:t>
      </w:r>
      <w:r w:rsidR="00960E4A" w:rsidRPr="00384C6C">
        <w:rPr>
          <w:rFonts w:cstheme="minorHAnsi"/>
          <w:szCs w:val="24"/>
        </w:rPr>
        <w:t xml:space="preserve">PY 2023 </w:t>
      </w:r>
      <w:r w:rsidR="00552FB6" w:rsidRPr="00384C6C">
        <w:rPr>
          <w:rFonts w:cstheme="minorHAnsi"/>
          <w:szCs w:val="24"/>
        </w:rPr>
        <w:t>energy efficiency costs</w:t>
      </w:r>
      <w:r w:rsidR="00264A65" w:rsidRPr="00384C6C">
        <w:rPr>
          <w:rFonts w:cstheme="minorHAnsi"/>
          <w:szCs w:val="24"/>
        </w:rPr>
        <w:t xml:space="preserve">, </w:t>
      </w:r>
      <w:r w:rsidR="00B07C3F" w:rsidRPr="00384C6C">
        <w:rPr>
          <w:rFonts w:cstheme="minorHAnsi"/>
          <w:szCs w:val="24"/>
        </w:rPr>
        <w:t xml:space="preserve">including </w:t>
      </w:r>
      <w:r w:rsidR="00264A65" w:rsidRPr="00384C6C">
        <w:rPr>
          <w:rFonts w:cstheme="minorHAnsi"/>
          <w:szCs w:val="24"/>
        </w:rPr>
        <w:lastRenderedPageBreak/>
        <w:t>interest</w:t>
      </w:r>
      <w:r w:rsidR="00B07C3F" w:rsidRPr="00384C6C">
        <w:rPr>
          <w:rFonts w:cstheme="minorHAnsi"/>
          <w:szCs w:val="24"/>
        </w:rPr>
        <w:t>,</w:t>
      </w:r>
      <w:r w:rsidR="00522DED" w:rsidRPr="00384C6C">
        <w:rPr>
          <w:rFonts w:cstheme="minorHAnsi"/>
          <w:szCs w:val="24"/>
        </w:rPr>
        <w:t xml:space="preserve"> which </w:t>
      </w:r>
      <w:r w:rsidR="002A0574" w:rsidRPr="00384C6C">
        <w:rPr>
          <w:rFonts w:cstheme="minorHAnsi"/>
          <w:szCs w:val="24"/>
        </w:rPr>
        <w:t>are</w:t>
      </w:r>
      <w:r w:rsidR="00517181" w:rsidRPr="00384C6C">
        <w:rPr>
          <w:rFonts w:cstheme="minorHAnsi"/>
          <w:szCs w:val="24"/>
        </w:rPr>
        <w:t xml:space="preserve"> directly</w:t>
      </w:r>
      <w:r w:rsidR="00522DED" w:rsidRPr="00384C6C">
        <w:rPr>
          <w:rFonts w:cstheme="minorHAnsi"/>
          <w:szCs w:val="24"/>
        </w:rPr>
        <w:t xml:space="preserve"> assigned</w:t>
      </w:r>
      <w:r w:rsidR="00384C6C" w:rsidRPr="00384C6C">
        <w:rPr>
          <w:rFonts w:cstheme="minorHAnsi"/>
          <w:szCs w:val="24"/>
        </w:rPr>
        <w:t>—</w:t>
      </w:r>
      <w:r w:rsidR="00522DED" w:rsidRPr="00384C6C">
        <w:rPr>
          <w:rFonts w:cstheme="minorHAnsi"/>
          <w:szCs w:val="24"/>
        </w:rPr>
        <w:t>to the maximum extent reasonably possible</w:t>
      </w:r>
      <w:r w:rsidR="00384C6C" w:rsidRPr="00384C6C">
        <w:rPr>
          <w:rFonts w:cstheme="minorHAnsi"/>
          <w:szCs w:val="24"/>
        </w:rPr>
        <w:t>—</w:t>
      </w:r>
      <w:r w:rsidR="00517181" w:rsidRPr="00384C6C">
        <w:rPr>
          <w:rFonts w:cstheme="minorHAnsi"/>
          <w:szCs w:val="24"/>
        </w:rPr>
        <w:t>to each rate class according to actual PY 2023 costs and revenues.</w:t>
      </w:r>
      <w:r w:rsidR="00384C6C" w:rsidRPr="00384C6C">
        <w:rPr>
          <w:rFonts w:cstheme="minorHAnsi"/>
          <w:szCs w:val="24"/>
        </w:rPr>
        <w:t xml:space="preserve"> </w:t>
      </w:r>
    </w:p>
    <w:p w14:paraId="385E644B" w14:textId="4FBA9CF3" w:rsidR="00340F1E" w:rsidRPr="00384C6C" w:rsidRDefault="00340F1E" w:rsidP="000240C2">
      <w:pPr>
        <w:pStyle w:val="ListParagraph"/>
        <w:widowControl w:val="0"/>
        <w:numPr>
          <w:ilvl w:val="0"/>
          <w:numId w:val="6"/>
        </w:numPr>
        <w:rPr>
          <w:rFonts w:cstheme="minorHAnsi"/>
          <w:szCs w:val="24"/>
        </w:rPr>
      </w:pPr>
      <w:r w:rsidRPr="00384C6C">
        <w:rPr>
          <w:rFonts w:cstheme="minorHAnsi"/>
          <w:szCs w:val="24"/>
        </w:rPr>
        <w:t>$</w:t>
      </w:r>
      <w:r w:rsidR="00597803">
        <w:rPr>
          <w:rFonts w:cstheme="minorHAnsi"/>
          <w:szCs w:val="24"/>
        </w:rPr>
        <w:t>40,784</w:t>
      </w:r>
      <w:r w:rsidRPr="00384C6C">
        <w:rPr>
          <w:rFonts w:cstheme="minorHAnsi"/>
          <w:szCs w:val="24"/>
        </w:rPr>
        <w:t xml:space="preserve"> in </w:t>
      </w:r>
      <w:r w:rsidR="00264CB9" w:rsidRPr="00384C6C">
        <w:rPr>
          <w:rFonts w:cstheme="minorHAnsi"/>
          <w:szCs w:val="24"/>
        </w:rPr>
        <w:t xml:space="preserve">rate case expenses allocated according </w:t>
      </w:r>
      <w:r w:rsidR="004F32E3" w:rsidRPr="00384C6C">
        <w:rPr>
          <w:rFonts w:cstheme="minorHAnsi"/>
          <w:szCs w:val="24"/>
        </w:rPr>
        <w:t xml:space="preserve">to </w:t>
      </w:r>
      <w:r w:rsidR="00264CB9" w:rsidRPr="00384C6C">
        <w:rPr>
          <w:rFonts w:cstheme="minorHAnsi"/>
          <w:szCs w:val="24"/>
        </w:rPr>
        <w:t>PY 2023 program costs.</w:t>
      </w:r>
    </w:p>
    <w:p w14:paraId="6F7E195E" w14:textId="01B85F22" w:rsidR="00213A72" w:rsidRDefault="00213A72" w:rsidP="00213A72">
      <w:pPr>
        <w:widowControl w:val="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Dividing these costs by </w:t>
      </w:r>
      <w:r w:rsidR="0095215D">
        <w:rPr>
          <w:rFonts w:cstheme="minorHAnsi"/>
          <w:szCs w:val="24"/>
        </w:rPr>
        <w:t>ETI</w:t>
      </w:r>
      <w:r>
        <w:rPr>
          <w:rFonts w:cstheme="minorHAnsi"/>
          <w:szCs w:val="24"/>
        </w:rPr>
        <w:t xml:space="preserve">’s forecasted </w:t>
      </w:r>
      <w:r w:rsidR="00BC77EE">
        <w:rPr>
          <w:rFonts w:cstheme="minorHAnsi"/>
          <w:szCs w:val="24"/>
        </w:rPr>
        <w:t>billing determinants for PY 2025 produces the following EECRF rates: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44"/>
        <w:gridCol w:w="3996"/>
      </w:tblGrid>
      <w:tr w:rsidR="00EC4184" w14:paraId="39490230" w14:textId="77777777" w:rsidTr="002F70E3">
        <w:trPr>
          <w:trHeight w:val="576"/>
          <w:jc w:val="center"/>
        </w:trPr>
        <w:tc>
          <w:tcPr>
            <w:tcW w:w="3744" w:type="dxa"/>
            <w:vAlign w:val="center"/>
          </w:tcPr>
          <w:p w14:paraId="46B51264" w14:textId="48A7E3ED" w:rsidR="00EC4184" w:rsidRDefault="00972F5C" w:rsidP="00972F5C">
            <w:pPr>
              <w:widowControl w:val="0"/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Rate Class</w:t>
            </w:r>
          </w:p>
        </w:tc>
        <w:tc>
          <w:tcPr>
            <w:tcW w:w="3996" w:type="dxa"/>
            <w:vAlign w:val="center"/>
          </w:tcPr>
          <w:p w14:paraId="2B8F735A" w14:textId="7A2B42C1" w:rsidR="00972F5C" w:rsidRDefault="00972F5C" w:rsidP="00972F5C">
            <w:pPr>
              <w:widowControl w:val="0"/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EECRF Rate ($/kWh)</w:t>
            </w:r>
          </w:p>
        </w:tc>
      </w:tr>
      <w:tr w:rsidR="002A0BED" w14:paraId="36383378" w14:textId="77777777" w:rsidTr="002F70E3">
        <w:trPr>
          <w:trHeight w:val="576"/>
          <w:jc w:val="center"/>
        </w:trPr>
        <w:tc>
          <w:tcPr>
            <w:tcW w:w="3744" w:type="dxa"/>
          </w:tcPr>
          <w:p w14:paraId="371DD028" w14:textId="63E4A380" w:rsidR="002A0BED" w:rsidRDefault="002A0BED" w:rsidP="002A0BED">
            <w:pPr>
              <w:widowControl w:val="0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Residential</w:t>
            </w:r>
          </w:p>
        </w:tc>
        <w:tc>
          <w:tcPr>
            <w:tcW w:w="3996" w:type="dxa"/>
          </w:tcPr>
          <w:p w14:paraId="0DC769F2" w14:textId="136C3997" w:rsidR="002A0BED" w:rsidRDefault="002A0BED" w:rsidP="00C55F3A">
            <w:pPr>
              <w:widowControl w:val="0"/>
              <w:tabs>
                <w:tab w:val="right" w:pos="3744"/>
              </w:tabs>
              <w:jc w:val="lef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$</w:t>
            </w:r>
            <w:r>
              <w:rPr>
                <w:rFonts w:cstheme="minorHAnsi"/>
                <w:szCs w:val="24"/>
              </w:rPr>
              <w:tab/>
              <w:t>0.00</w:t>
            </w:r>
            <w:r w:rsidR="007F27B3">
              <w:rPr>
                <w:rFonts w:cstheme="minorHAnsi"/>
                <w:szCs w:val="24"/>
              </w:rPr>
              <w:t>094</w:t>
            </w:r>
            <w:r w:rsidR="0017047F">
              <w:rPr>
                <w:rFonts w:cstheme="minorHAnsi"/>
                <w:szCs w:val="24"/>
              </w:rPr>
              <w:t>0</w:t>
            </w:r>
          </w:p>
        </w:tc>
      </w:tr>
      <w:tr w:rsidR="002A0BED" w14:paraId="338D4240" w14:textId="77777777" w:rsidTr="002F70E3">
        <w:trPr>
          <w:trHeight w:val="576"/>
          <w:jc w:val="center"/>
        </w:trPr>
        <w:tc>
          <w:tcPr>
            <w:tcW w:w="3744" w:type="dxa"/>
          </w:tcPr>
          <w:p w14:paraId="2A3478DD" w14:textId="352D4421" w:rsidR="002A0BED" w:rsidRDefault="008F7634" w:rsidP="002A0BED">
            <w:pPr>
              <w:widowControl w:val="0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Small General Service</w:t>
            </w:r>
          </w:p>
        </w:tc>
        <w:tc>
          <w:tcPr>
            <w:tcW w:w="3996" w:type="dxa"/>
          </w:tcPr>
          <w:p w14:paraId="3A0D83FD" w14:textId="0C2B9086" w:rsidR="002A0BED" w:rsidRDefault="002A0BED" w:rsidP="00C55F3A">
            <w:pPr>
              <w:widowControl w:val="0"/>
              <w:tabs>
                <w:tab w:val="right" w:pos="3744"/>
              </w:tabs>
              <w:jc w:val="lef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$</w:t>
            </w:r>
            <w:r>
              <w:rPr>
                <w:rFonts w:cstheme="minorHAnsi"/>
                <w:szCs w:val="24"/>
              </w:rPr>
              <w:tab/>
            </w:r>
            <w:r w:rsidR="00DF4D9D">
              <w:rPr>
                <w:rFonts w:cstheme="minorHAnsi"/>
                <w:szCs w:val="24"/>
              </w:rPr>
              <w:t xml:space="preserve"> </w:t>
            </w:r>
            <w:r w:rsidR="00D47BA4">
              <w:rPr>
                <w:rFonts w:cstheme="minorHAnsi"/>
                <w:szCs w:val="24"/>
              </w:rPr>
              <w:t>0.000</w:t>
            </w:r>
            <w:r w:rsidR="007F27B3">
              <w:rPr>
                <w:rFonts w:cstheme="minorHAnsi"/>
                <w:szCs w:val="24"/>
              </w:rPr>
              <w:t>82</w:t>
            </w:r>
            <w:r w:rsidR="006E6CA5">
              <w:rPr>
                <w:rFonts w:cstheme="minorHAnsi"/>
                <w:szCs w:val="24"/>
              </w:rPr>
              <w:t>5</w:t>
            </w:r>
          </w:p>
        </w:tc>
      </w:tr>
      <w:tr w:rsidR="002A0BED" w14:paraId="5C9B8F0B" w14:textId="77777777" w:rsidTr="002F70E3">
        <w:trPr>
          <w:trHeight w:val="576"/>
          <w:jc w:val="center"/>
        </w:trPr>
        <w:tc>
          <w:tcPr>
            <w:tcW w:w="3744" w:type="dxa"/>
          </w:tcPr>
          <w:p w14:paraId="4D3353B6" w14:textId="100BC3D5" w:rsidR="002A0BED" w:rsidRDefault="008F7634" w:rsidP="002A0BED">
            <w:pPr>
              <w:widowControl w:val="0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General Service</w:t>
            </w:r>
          </w:p>
        </w:tc>
        <w:tc>
          <w:tcPr>
            <w:tcW w:w="3996" w:type="dxa"/>
          </w:tcPr>
          <w:p w14:paraId="451F4B61" w14:textId="5A2706FF" w:rsidR="002A0BED" w:rsidRDefault="002A0BED" w:rsidP="00C55F3A">
            <w:pPr>
              <w:widowControl w:val="0"/>
              <w:tabs>
                <w:tab w:val="right" w:pos="3744"/>
              </w:tabs>
              <w:jc w:val="lef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$</w:t>
            </w:r>
            <w:r>
              <w:rPr>
                <w:rFonts w:cstheme="minorHAnsi"/>
                <w:szCs w:val="24"/>
              </w:rPr>
              <w:tab/>
              <w:t>0.00</w:t>
            </w:r>
            <w:r w:rsidR="00480D46">
              <w:rPr>
                <w:rFonts w:cstheme="minorHAnsi"/>
                <w:szCs w:val="24"/>
              </w:rPr>
              <w:t>0</w:t>
            </w:r>
            <w:r w:rsidR="007F27B3">
              <w:rPr>
                <w:rFonts w:cstheme="minorHAnsi"/>
                <w:szCs w:val="24"/>
              </w:rPr>
              <w:t>78</w:t>
            </w:r>
            <w:r w:rsidR="0017047F">
              <w:rPr>
                <w:rFonts w:cstheme="minorHAnsi"/>
                <w:szCs w:val="24"/>
              </w:rPr>
              <w:t>6</w:t>
            </w:r>
          </w:p>
        </w:tc>
      </w:tr>
      <w:tr w:rsidR="002A0BED" w14:paraId="7C9B727C" w14:textId="77777777" w:rsidTr="002F70E3">
        <w:trPr>
          <w:trHeight w:val="576"/>
          <w:jc w:val="center"/>
        </w:trPr>
        <w:tc>
          <w:tcPr>
            <w:tcW w:w="3744" w:type="dxa"/>
          </w:tcPr>
          <w:p w14:paraId="56CB8BC9" w14:textId="04057E86" w:rsidR="002A0BED" w:rsidRDefault="008F7634" w:rsidP="002A0BED">
            <w:pPr>
              <w:widowControl w:val="0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Large General Service</w:t>
            </w:r>
          </w:p>
        </w:tc>
        <w:tc>
          <w:tcPr>
            <w:tcW w:w="3996" w:type="dxa"/>
          </w:tcPr>
          <w:p w14:paraId="59BE8259" w14:textId="6EE9A0DD" w:rsidR="002A0BED" w:rsidRDefault="002A0BED" w:rsidP="00C55F3A">
            <w:pPr>
              <w:widowControl w:val="0"/>
              <w:tabs>
                <w:tab w:val="right" w:pos="3744"/>
              </w:tabs>
              <w:jc w:val="lef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$</w:t>
            </w:r>
            <w:r>
              <w:rPr>
                <w:rFonts w:cstheme="minorHAnsi"/>
                <w:szCs w:val="24"/>
              </w:rPr>
              <w:tab/>
            </w:r>
            <w:r w:rsidR="009F2A4F">
              <w:rPr>
                <w:rFonts w:cstheme="minorHAnsi"/>
                <w:szCs w:val="24"/>
              </w:rPr>
              <w:t>0.000</w:t>
            </w:r>
            <w:r w:rsidR="007F27B3">
              <w:rPr>
                <w:rFonts w:cstheme="minorHAnsi"/>
                <w:szCs w:val="24"/>
              </w:rPr>
              <w:t>7</w:t>
            </w:r>
            <w:r w:rsidR="0017047F">
              <w:rPr>
                <w:rFonts w:cstheme="minorHAnsi"/>
                <w:szCs w:val="24"/>
              </w:rPr>
              <w:t>4</w:t>
            </w:r>
            <w:r w:rsidR="005F315A">
              <w:rPr>
                <w:rFonts w:cstheme="minorHAnsi"/>
                <w:szCs w:val="24"/>
              </w:rPr>
              <w:t>1</w:t>
            </w:r>
          </w:p>
        </w:tc>
      </w:tr>
      <w:tr w:rsidR="002A0BED" w14:paraId="308654EA" w14:textId="77777777" w:rsidTr="002F70E3">
        <w:trPr>
          <w:trHeight w:val="576"/>
          <w:jc w:val="center"/>
        </w:trPr>
        <w:tc>
          <w:tcPr>
            <w:tcW w:w="3744" w:type="dxa"/>
          </w:tcPr>
          <w:p w14:paraId="7283FD4C" w14:textId="6E34DB55" w:rsidR="002A0BED" w:rsidRDefault="006C77BE" w:rsidP="002A0BED">
            <w:pPr>
              <w:widowControl w:val="0"/>
              <w:jc w:val="lef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LIPS: Industrial Transmission Customers Only </w:t>
            </w:r>
          </w:p>
        </w:tc>
        <w:tc>
          <w:tcPr>
            <w:tcW w:w="3996" w:type="dxa"/>
          </w:tcPr>
          <w:p w14:paraId="4C994F5C" w14:textId="7B07F5A8" w:rsidR="002A0BED" w:rsidRDefault="002A0BED" w:rsidP="00C55F3A">
            <w:pPr>
              <w:widowControl w:val="0"/>
              <w:tabs>
                <w:tab w:val="right" w:pos="3744"/>
              </w:tabs>
              <w:jc w:val="lef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$</w:t>
            </w:r>
            <w:r>
              <w:rPr>
                <w:rFonts w:cstheme="minorHAnsi"/>
                <w:szCs w:val="24"/>
              </w:rPr>
              <w:tab/>
              <w:t>0.</w:t>
            </w:r>
            <w:r w:rsidR="009F2A4F">
              <w:rPr>
                <w:rFonts w:cstheme="minorHAnsi"/>
                <w:szCs w:val="24"/>
              </w:rPr>
              <w:t>000</w:t>
            </w:r>
            <w:r w:rsidR="006C77BE">
              <w:rPr>
                <w:rFonts w:cstheme="minorHAnsi"/>
                <w:szCs w:val="24"/>
              </w:rPr>
              <w:t>000</w:t>
            </w:r>
          </w:p>
        </w:tc>
      </w:tr>
      <w:tr w:rsidR="002A0BED" w14:paraId="3E0C9F42" w14:textId="77777777" w:rsidTr="002F70E3">
        <w:trPr>
          <w:trHeight w:val="576"/>
          <w:jc w:val="center"/>
        </w:trPr>
        <w:tc>
          <w:tcPr>
            <w:tcW w:w="3744" w:type="dxa"/>
          </w:tcPr>
          <w:p w14:paraId="2C745C57" w14:textId="0FDAA9E7" w:rsidR="002A0BED" w:rsidRDefault="006C77BE" w:rsidP="002A0BED">
            <w:pPr>
              <w:widowControl w:val="0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LIPS: Other than Industrial Transmission Customers</w:t>
            </w:r>
          </w:p>
        </w:tc>
        <w:tc>
          <w:tcPr>
            <w:tcW w:w="3996" w:type="dxa"/>
          </w:tcPr>
          <w:p w14:paraId="07074C73" w14:textId="7313815B" w:rsidR="002A0BED" w:rsidRDefault="002A0BED" w:rsidP="00C55F3A">
            <w:pPr>
              <w:widowControl w:val="0"/>
              <w:tabs>
                <w:tab w:val="right" w:pos="3744"/>
              </w:tabs>
              <w:jc w:val="lef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$</w:t>
            </w:r>
            <w:r>
              <w:rPr>
                <w:rFonts w:cstheme="minorHAnsi"/>
                <w:szCs w:val="24"/>
              </w:rPr>
              <w:tab/>
            </w:r>
            <w:r w:rsidR="007F27B3">
              <w:rPr>
                <w:rFonts w:cstheme="minorHAnsi"/>
                <w:szCs w:val="24"/>
              </w:rPr>
              <w:t>(0.0001</w:t>
            </w:r>
            <w:r w:rsidR="0017047F">
              <w:rPr>
                <w:rFonts w:cstheme="minorHAnsi"/>
                <w:szCs w:val="24"/>
              </w:rPr>
              <w:t>58</w:t>
            </w:r>
            <w:r w:rsidR="007F27B3">
              <w:rPr>
                <w:rFonts w:cstheme="minorHAnsi"/>
                <w:szCs w:val="24"/>
              </w:rPr>
              <w:t>)</w:t>
            </w:r>
          </w:p>
        </w:tc>
      </w:tr>
      <w:tr w:rsidR="001009F9" w14:paraId="55DC42DC" w14:textId="77777777" w:rsidTr="002F70E3">
        <w:trPr>
          <w:trHeight w:val="576"/>
          <w:jc w:val="center"/>
        </w:trPr>
        <w:tc>
          <w:tcPr>
            <w:tcW w:w="3744" w:type="dxa"/>
          </w:tcPr>
          <w:p w14:paraId="4B004261" w14:textId="05C2FD8F" w:rsidR="001009F9" w:rsidRDefault="001009F9" w:rsidP="001009F9">
            <w:pPr>
              <w:widowControl w:val="0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Lighting</w:t>
            </w:r>
          </w:p>
        </w:tc>
        <w:tc>
          <w:tcPr>
            <w:tcW w:w="3996" w:type="dxa"/>
          </w:tcPr>
          <w:p w14:paraId="63FF57E8" w14:textId="015BD182" w:rsidR="001009F9" w:rsidRDefault="001009F9" w:rsidP="001009F9">
            <w:pPr>
              <w:widowControl w:val="0"/>
              <w:tabs>
                <w:tab w:val="right" w:pos="3744"/>
              </w:tabs>
              <w:jc w:val="lef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$</w:t>
            </w:r>
            <w:r>
              <w:rPr>
                <w:rFonts w:cstheme="minorHAnsi"/>
                <w:szCs w:val="24"/>
              </w:rPr>
              <w:tab/>
              <w:t>0.00000</w:t>
            </w:r>
            <w:r w:rsidR="007F27B3">
              <w:rPr>
                <w:rFonts w:cstheme="minorHAnsi"/>
                <w:szCs w:val="24"/>
              </w:rPr>
              <w:t>1</w:t>
            </w:r>
          </w:p>
        </w:tc>
      </w:tr>
    </w:tbl>
    <w:p w14:paraId="71C0B66D" w14:textId="77777777" w:rsidR="00BC77EE" w:rsidRDefault="00BC77EE" w:rsidP="00213A72">
      <w:pPr>
        <w:widowControl w:val="0"/>
        <w:rPr>
          <w:rFonts w:cstheme="minorHAnsi"/>
          <w:szCs w:val="24"/>
        </w:rPr>
      </w:pPr>
    </w:p>
    <w:p w14:paraId="4EE92FE8" w14:textId="1E4F454F" w:rsidR="00BF5E22" w:rsidRPr="00213A72" w:rsidRDefault="00BF5E22" w:rsidP="00BF5E22">
      <w:pPr>
        <w:widowControl w:val="0"/>
        <w:ind w:firstLine="72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Based upon my review of </w:t>
      </w:r>
      <w:r w:rsidR="00011BBF">
        <w:rPr>
          <w:rFonts w:cstheme="minorHAnsi"/>
          <w:szCs w:val="24"/>
        </w:rPr>
        <w:t>the Stipulation</w:t>
      </w:r>
      <w:r w:rsidR="003F1150">
        <w:rPr>
          <w:rFonts w:cstheme="minorHAnsi"/>
          <w:szCs w:val="24"/>
        </w:rPr>
        <w:t xml:space="preserve">, I have determined that </w:t>
      </w:r>
      <w:r w:rsidR="00011BBF">
        <w:rPr>
          <w:rFonts w:cstheme="minorHAnsi"/>
          <w:szCs w:val="24"/>
        </w:rPr>
        <w:t xml:space="preserve">the </w:t>
      </w:r>
      <w:r w:rsidR="003F1150">
        <w:rPr>
          <w:rFonts w:cstheme="minorHAnsi"/>
          <w:szCs w:val="24"/>
        </w:rPr>
        <w:t>proposed assignments and allocations of the various EEC</w:t>
      </w:r>
      <w:r w:rsidR="00B07C3F">
        <w:rPr>
          <w:rFonts w:cstheme="minorHAnsi"/>
          <w:szCs w:val="24"/>
        </w:rPr>
        <w:t>R</w:t>
      </w:r>
      <w:r w:rsidR="003F1150">
        <w:rPr>
          <w:rFonts w:cstheme="minorHAnsi"/>
          <w:szCs w:val="24"/>
        </w:rPr>
        <w:t xml:space="preserve">F </w:t>
      </w:r>
      <w:r w:rsidR="00B07C3F">
        <w:rPr>
          <w:rFonts w:cstheme="minorHAnsi"/>
          <w:szCs w:val="24"/>
        </w:rPr>
        <w:t xml:space="preserve">cost </w:t>
      </w:r>
      <w:r w:rsidR="003F1150">
        <w:rPr>
          <w:rFonts w:cstheme="minorHAnsi"/>
          <w:szCs w:val="24"/>
        </w:rPr>
        <w:t xml:space="preserve">components to </w:t>
      </w:r>
      <w:r w:rsidR="0095215D">
        <w:rPr>
          <w:rFonts w:cstheme="minorHAnsi"/>
          <w:szCs w:val="24"/>
        </w:rPr>
        <w:t>ETI</w:t>
      </w:r>
      <w:r w:rsidR="003F1150">
        <w:rPr>
          <w:rFonts w:cstheme="minorHAnsi"/>
          <w:szCs w:val="24"/>
        </w:rPr>
        <w:t xml:space="preserve">’s rate classes are reasonable </w:t>
      </w:r>
      <w:r w:rsidR="005A5A3B">
        <w:rPr>
          <w:rFonts w:cstheme="minorHAnsi"/>
          <w:szCs w:val="24"/>
        </w:rPr>
        <w:t>and consistent with 16 Texas Administrative Code § 25.182 and that the rates</w:t>
      </w:r>
      <w:r w:rsidR="001C5113">
        <w:rPr>
          <w:rFonts w:cstheme="minorHAnsi"/>
          <w:szCs w:val="24"/>
        </w:rPr>
        <w:t xml:space="preserve"> </w:t>
      </w:r>
      <w:r w:rsidR="005A5A3B">
        <w:rPr>
          <w:rFonts w:cstheme="minorHAnsi"/>
          <w:szCs w:val="24"/>
        </w:rPr>
        <w:t>have been correctly calculated.</w:t>
      </w:r>
    </w:p>
    <w:sectPr w:rsidR="00BF5E22" w:rsidRPr="00213A72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90CE8" w14:textId="77777777" w:rsidR="009C555A" w:rsidRDefault="009C555A" w:rsidP="0090625F">
      <w:pPr>
        <w:spacing w:after="0" w:line="240" w:lineRule="auto"/>
      </w:pPr>
      <w:r>
        <w:separator/>
      </w:r>
    </w:p>
  </w:endnote>
  <w:endnote w:type="continuationSeparator" w:id="0">
    <w:p w14:paraId="12F2026A" w14:textId="77777777" w:rsidR="009C555A" w:rsidRDefault="009C555A" w:rsidP="00906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36A6" w14:textId="77777777" w:rsidR="000B1490" w:rsidRDefault="000B14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9C28208" w14:textId="77777777" w:rsidR="000B1490" w:rsidRDefault="000B14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10B8C" w14:textId="77777777" w:rsidR="000B1490" w:rsidRPr="00B05548" w:rsidRDefault="000B1490">
    <w:pPr>
      <w:pStyle w:val="Footer"/>
      <w:framePr w:wrap="around" w:vAnchor="text" w:hAnchor="margin" w:xAlign="right" w:y="1"/>
      <w:rPr>
        <w:rStyle w:val="PageNumber"/>
        <w:rFonts w:ascii="Times New Roman" w:hAnsi="Times New Roman" w:cs="Times New Roman"/>
        <w:b/>
        <w:bCs/>
        <w:sz w:val="20"/>
        <w:szCs w:val="20"/>
      </w:rPr>
    </w:pPr>
    <w:r w:rsidRPr="00B05548">
      <w:rPr>
        <w:rStyle w:val="PageNumber"/>
        <w:rFonts w:ascii="Times New Roman" w:hAnsi="Times New Roman" w:cs="Times New Roman"/>
        <w:b/>
        <w:bCs/>
        <w:sz w:val="20"/>
        <w:szCs w:val="20"/>
      </w:rPr>
      <w:fldChar w:fldCharType="begin"/>
    </w:r>
    <w:r w:rsidRPr="00B05548">
      <w:rPr>
        <w:rStyle w:val="PageNumber"/>
        <w:rFonts w:ascii="Times New Roman" w:hAnsi="Times New Roman" w:cs="Times New Roman"/>
        <w:b/>
        <w:bCs/>
        <w:sz w:val="20"/>
        <w:szCs w:val="20"/>
      </w:rPr>
      <w:instrText xml:space="preserve">PAGE  </w:instrText>
    </w:r>
    <w:r w:rsidRPr="00B05548">
      <w:rPr>
        <w:rStyle w:val="PageNumber"/>
        <w:rFonts w:ascii="Times New Roman" w:hAnsi="Times New Roman" w:cs="Times New Roman"/>
        <w:b/>
        <w:bCs/>
        <w:sz w:val="20"/>
        <w:szCs w:val="20"/>
      </w:rPr>
      <w:fldChar w:fldCharType="separate"/>
    </w:r>
    <w:r w:rsidRPr="00B05548">
      <w:rPr>
        <w:rStyle w:val="PageNumber"/>
        <w:rFonts w:ascii="Times New Roman" w:hAnsi="Times New Roman" w:cs="Times New Roman"/>
        <w:b/>
        <w:bCs/>
        <w:noProof/>
        <w:sz w:val="20"/>
        <w:szCs w:val="20"/>
      </w:rPr>
      <w:t>2</w:t>
    </w:r>
    <w:r w:rsidRPr="00B05548">
      <w:rPr>
        <w:rStyle w:val="PageNumber"/>
        <w:rFonts w:ascii="Times New Roman" w:hAnsi="Times New Roman" w:cs="Times New Roman"/>
        <w:b/>
        <w:bCs/>
        <w:sz w:val="20"/>
        <w:szCs w:val="20"/>
      </w:rPr>
      <w:fldChar w:fldCharType="end"/>
    </w:r>
  </w:p>
  <w:p w14:paraId="4E84D173" w14:textId="77777777" w:rsidR="000B1490" w:rsidRPr="00B05548" w:rsidRDefault="000B1490" w:rsidP="00B44A6A">
    <w:pPr>
      <w:pStyle w:val="Footer"/>
      <w:ind w:right="360"/>
      <w:jc w:val="right"/>
      <w:rPr>
        <w:rFonts w:ascii="Times New Roman" w:hAnsi="Times New Roman" w:cs="Times New Roman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0193E" w14:textId="77777777" w:rsidR="009C555A" w:rsidRDefault="009C555A" w:rsidP="0090625F">
      <w:pPr>
        <w:spacing w:after="0" w:line="240" w:lineRule="auto"/>
      </w:pPr>
      <w:r>
        <w:separator/>
      </w:r>
    </w:p>
  </w:footnote>
  <w:footnote w:type="continuationSeparator" w:id="0">
    <w:p w14:paraId="32B2AE62" w14:textId="77777777" w:rsidR="009C555A" w:rsidRDefault="009C555A" w:rsidP="00906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B525A" w14:textId="3D8EC852" w:rsidR="000B1490" w:rsidRPr="009D0245" w:rsidRDefault="000B1490" w:rsidP="00762647">
    <w:pPr>
      <w:pStyle w:val="Header"/>
      <w:spacing w:after="240"/>
      <w:jc w:val="right"/>
      <w:rPr>
        <w:rFonts w:ascii="Times New Roman" w:hAnsi="Times New Roman" w:cs="Times New Roman"/>
        <w:b/>
        <w:sz w:val="20"/>
        <w:szCs w:val="20"/>
      </w:rPr>
    </w:pPr>
    <w:r w:rsidRPr="009D0245">
      <w:rPr>
        <w:rFonts w:ascii="Times New Roman" w:hAnsi="Times New Roman" w:cs="Times New Roman"/>
        <w:b/>
        <w:sz w:val="20"/>
        <w:szCs w:val="20"/>
      </w:rPr>
      <w:t xml:space="preserve">Docket No. </w:t>
    </w:r>
    <w:r w:rsidR="009C4304">
      <w:rPr>
        <w:rFonts w:ascii="Times New Roman" w:hAnsi="Times New Roman" w:cs="Times New Roman"/>
        <w:b/>
        <w:sz w:val="20"/>
        <w:szCs w:val="20"/>
      </w:rPr>
      <w:t>56544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F2FFB"/>
    <w:multiLevelType w:val="hybridMultilevel"/>
    <w:tmpl w:val="E2824C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82355AC"/>
    <w:multiLevelType w:val="hybridMultilevel"/>
    <w:tmpl w:val="BB9E1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8F3F31"/>
    <w:multiLevelType w:val="hybridMultilevel"/>
    <w:tmpl w:val="E1260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A767FB"/>
    <w:multiLevelType w:val="hybridMultilevel"/>
    <w:tmpl w:val="C832CBD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7A138E"/>
    <w:multiLevelType w:val="hybridMultilevel"/>
    <w:tmpl w:val="D97867B2"/>
    <w:lvl w:ilvl="0" w:tplc="40789BB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461383"/>
    <w:multiLevelType w:val="hybridMultilevel"/>
    <w:tmpl w:val="9AD672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5917947">
    <w:abstractNumId w:val="4"/>
  </w:num>
  <w:num w:numId="2" w16cid:durableId="1329484881">
    <w:abstractNumId w:val="3"/>
  </w:num>
  <w:num w:numId="3" w16cid:durableId="29887070">
    <w:abstractNumId w:val="5"/>
  </w:num>
  <w:num w:numId="4" w16cid:durableId="1548763876">
    <w:abstractNumId w:val="2"/>
  </w:num>
  <w:num w:numId="5" w16cid:durableId="1484663384">
    <w:abstractNumId w:val="1"/>
  </w:num>
  <w:num w:numId="6" w16cid:durableId="102918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66E"/>
    <w:rsid w:val="000047AD"/>
    <w:rsid w:val="00011BBF"/>
    <w:rsid w:val="00012AE8"/>
    <w:rsid w:val="000240C2"/>
    <w:rsid w:val="000331FD"/>
    <w:rsid w:val="00051F03"/>
    <w:rsid w:val="000535D3"/>
    <w:rsid w:val="0006567E"/>
    <w:rsid w:val="00073256"/>
    <w:rsid w:val="00077810"/>
    <w:rsid w:val="000940D0"/>
    <w:rsid w:val="00094891"/>
    <w:rsid w:val="0009717A"/>
    <w:rsid w:val="000A7F0D"/>
    <w:rsid w:val="000B06BD"/>
    <w:rsid w:val="000B0E8E"/>
    <w:rsid w:val="000B1490"/>
    <w:rsid w:val="000B24CF"/>
    <w:rsid w:val="000B7CE5"/>
    <w:rsid w:val="000E7155"/>
    <w:rsid w:val="000F3FB9"/>
    <w:rsid w:val="001009F9"/>
    <w:rsid w:val="001212C1"/>
    <w:rsid w:val="00122300"/>
    <w:rsid w:val="0013066B"/>
    <w:rsid w:val="00133DF2"/>
    <w:rsid w:val="00137471"/>
    <w:rsid w:val="0014684E"/>
    <w:rsid w:val="00147A53"/>
    <w:rsid w:val="00151795"/>
    <w:rsid w:val="00155C8D"/>
    <w:rsid w:val="00166E78"/>
    <w:rsid w:val="0017047F"/>
    <w:rsid w:val="00171F9E"/>
    <w:rsid w:val="0017754C"/>
    <w:rsid w:val="001841C5"/>
    <w:rsid w:val="001920FE"/>
    <w:rsid w:val="00192559"/>
    <w:rsid w:val="001B0A1A"/>
    <w:rsid w:val="001C4E86"/>
    <w:rsid w:val="001C5113"/>
    <w:rsid w:val="00201C18"/>
    <w:rsid w:val="002047FF"/>
    <w:rsid w:val="00213A72"/>
    <w:rsid w:val="00213F06"/>
    <w:rsid w:val="00232F6E"/>
    <w:rsid w:val="00244DC4"/>
    <w:rsid w:val="0025242E"/>
    <w:rsid w:val="00264A65"/>
    <w:rsid w:val="00264CB9"/>
    <w:rsid w:val="00266682"/>
    <w:rsid w:val="0027266E"/>
    <w:rsid w:val="0027427C"/>
    <w:rsid w:val="00282356"/>
    <w:rsid w:val="002A0574"/>
    <w:rsid w:val="002A0BED"/>
    <w:rsid w:val="002A0D3E"/>
    <w:rsid w:val="002B5BED"/>
    <w:rsid w:val="002D009C"/>
    <w:rsid w:val="002E037D"/>
    <w:rsid w:val="002F70E3"/>
    <w:rsid w:val="003168B5"/>
    <w:rsid w:val="00337818"/>
    <w:rsid w:val="00340F1E"/>
    <w:rsid w:val="0035080D"/>
    <w:rsid w:val="00353E61"/>
    <w:rsid w:val="0035786A"/>
    <w:rsid w:val="00370251"/>
    <w:rsid w:val="0037343E"/>
    <w:rsid w:val="00384C6C"/>
    <w:rsid w:val="00395952"/>
    <w:rsid w:val="0039763F"/>
    <w:rsid w:val="003B5C15"/>
    <w:rsid w:val="003D0943"/>
    <w:rsid w:val="003D577D"/>
    <w:rsid w:val="003D69A7"/>
    <w:rsid w:val="003F1150"/>
    <w:rsid w:val="003F1587"/>
    <w:rsid w:val="003F6B9F"/>
    <w:rsid w:val="004020E3"/>
    <w:rsid w:val="00402B3A"/>
    <w:rsid w:val="00416FAF"/>
    <w:rsid w:val="0043010A"/>
    <w:rsid w:val="00437A93"/>
    <w:rsid w:val="0045653B"/>
    <w:rsid w:val="00457E59"/>
    <w:rsid w:val="00464120"/>
    <w:rsid w:val="004671B9"/>
    <w:rsid w:val="00471B55"/>
    <w:rsid w:val="00480D46"/>
    <w:rsid w:val="004A714A"/>
    <w:rsid w:val="004B2176"/>
    <w:rsid w:val="004E5C32"/>
    <w:rsid w:val="004E76D2"/>
    <w:rsid w:val="004F32E3"/>
    <w:rsid w:val="005120C4"/>
    <w:rsid w:val="00517181"/>
    <w:rsid w:val="005179DF"/>
    <w:rsid w:val="00520546"/>
    <w:rsid w:val="00522DED"/>
    <w:rsid w:val="00531D68"/>
    <w:rsid w:val="005523B3"/>
    <w:rsid w:val="00552476"/>
    <w:rsid w:val="00552FB6"/>
    <w:rsid w:val="005645EA"/>
    <w:rsid w:val="00565CAE"/>
    <w:rsid w:val="0058494D"/>
    <w:rsid w:val="005859B1"/>
    <w:rsid w:val="00597803"/>
    <w:rsid w:val="005A5A3B"/>
    <w:rsid w:val="005E0B22"/>
    <w:rsid w:val="005F0A47"/>
    <w:rsid w:val="005F315A"/>
    <w:rsid w:val="005F520B"/>
    <w:rsid w:val="006018D0"/>
    <w:rsid w:val="00603D26"/>
    <w:rsid w:val="00605054"/>
    <w:rsid w:val="006158EC"/>
    <w:rsid w:val="0061711D"/>
    <w:rsid w:val="00617FE0"/>
    <w:rsid w:val="00657459"/>
    <w:rsid w:val="00680FAF"/>
    <w:rsid w:val="00694501"/>
    <w:rsid w:val="00696505"/>
    <w:rsid w:val="006A01F8"/>
    <w:rsid w:val="006A17A0"/>
    <w:rsid w:val="006B35BF"/>
    <w:rsid w:val="006B4387"/>
    <w:rsid w:val="006C58DA"/>
    <w:rsid w:val="006C77BE"/>
    <w:rsid w:val="006D4A17"/>
    <w:rsid w:val="006E4A6E"/>
    <w:rsid w:val="006E6CA5"/>
    <w:rsid w:val="006F05F1"/>
    <w:rsid w:val="006F498C"/>
    <w:rsid w:val="007035A0"/>
    <w:rsid w:val="0070571F"/>
    <w:rsid w:val="00723E9E"/>
    <w:rsid w:val="0073617B"/>
    <w:rsid w:val="00740492"/>
    <w:rsid w:val="007413D8"/>
    <w:rsid w:val="00742938"/>
    <w:rsid w:val="00743232"/>
    <w:rsid w:val="00750240"/>
    <w:rsid w:val="007802C6"/>
    <w:rsid w:val="00782410"/>
    <w:rsid w:val="007851A7"/>
    <w:rsid w:val="00793162"/>
    <w:rsid w:val="00795B29"/>
    <w:rsid w:val="00796663"/>
    <w:rsid w:val="00797E63"/>
    <w:rsid w:val="007E2B1D"/>
    <w:rsid w:val="007E447D"/>
    <w:rsid w:val="007E64C8"/>
    <w:rsid w:val="007F27B3"/>
    <w:rsid w:val="00801158"/>
    <w:rsid w:val="00801488"/>
    <w:rsid w:val="00807619"/>
    <w:rsid w:val="00810FA0"/>
    <w:rsid w:val="00811F4C"/>
    <w:rsid w:val="00815141"/>
    <w:rsid w:val="00844CE7"/>
    <w:rsid w:val="0085620D"/>
    <w:rsid w:val="00860F04"/>
    <w:rsid w:val="00867979"/>
    <w:rsid w:val="00875C35"/>
    <w:rsid w:val="00896BC4"/>
    <w:rsid w:val="008B48FD"/>
    <w:rsid w:val="008B67C1"/>
    <w:rsid w:val="008C3792"/>
    <w:rsid w:val="008D706C"/>
    <w:rsid w:val="008F0234"/>
    <w:rsid w:val="008F7634"/>
    <w:rsid w:val="00901451"/>
    <w:rsid w:val="0090252B"/>
    <w:rsid w:val="0090625F"/>
    <w:rsid w:val="0092077B"/>
    <w:rsid w:val="0094490E"/>
    <w:rsid w:val="00951CFB"/>
    <w:rsid w:val="0095215D"/>
    <w:rsid w:val="00960E4A"/>
    <w:rsid w:val="00972F5C"/>
    <w:rsid w:val="00976366"/>
    <w:rsid w:val="009801D7"/>
    <w:rsid w:val="009857B6"/>
    <w:rsid w:val="009A2898"/>
    <w:rsid w:val="009A6441"/>
    <w:rsid w:val="009B5830"/>
    <w:rsid w:val="009C0386"/>
    <w:rsid w:val="009C4304"/>
    <w:rsid w:val="009C555A"/>
    <w:rsid w:val="009E27E3"/>
    <w:rsid w:val="009E4E04"/>
    <w:rsid w:val="009F2A4F"/>
    <w:rsid w:val="00A034F8"/>
    <w:rsid w:val="00A112BF"/>
    <w:rsid w:val="00A1194E"/>
    <w:rsid w:val="00A16351"/>
    <w:rsid w:val="00A1675E"/>
    <w:rsid w:val="00A2720B"/>
    <w:rsid w:val="00A32AB3"/>
    <w:rsid w:val="00A37BF8"/>
    <w:rsid w:val="00A46767"/>
    <w:rsid w:val="00A6310B"/>
    <w:rsid w:val="00A64602"/>
    <w:rsid w:val="00A90A24"/>
    <w:rsid w:val="00A914A4"/>
    <w:rsid w:val="00A91FEB"/>
    <w:rsid w:val="00AB1996"/>
    <w:rsid w:val="00AB3E7E"/>
    <w:rsid w:val="00AC71B8"/>
    <w:rsid w:val="00AC73A9"/>
    <w:rsid w:val="00AD0D61"/>
    <w:rsid w:val="00AD6CD8"/>
    <w:rsid w:val="00AE058E"/>
    <w:rsid w:val="00AE7F68"/>
    <w:rsid w:val="00AF36B9"/>
    <w:rsid w:val="00B07C3F"/>
    <w:rsid w:val="00B14FE2"/>
    <w:rsid w:val="00B213FB"/>
    <w:rsid w:val="00B35241"/>
    <w:rsid w:val="00B50595"/>
    <w:rsid w:val="00B51FC8"/>
    <w:rsid w:val="00B6020A"/>
    <w:rsid w:val="00B6699A"/>
    <w:rsid w:val="00B846A5"/>
    <w:rsid w:val="00B862C2"/>
    <w:rsid w:val="00B87A88"/>
    <w:rsid w:val="00B9000E"/>
    <w:rsid w:val="00B93D2E"/>
    <w:rsid w:val="00BC319F"/>
    <w:rsid w:val="00BC77EE"/>
    <w:rsid w:val="00BC7CAE"/>
    <w:rsid w:val="00BD5804"/>
    <w:rsid w:val="00BD6CF1"/>
    <w:rsid w:val="00BF55D2"/>
    <w:rsid w:val="00BF5E22"/>
    <w:rsid w:val="00C03E61"/>
    <w:rsid w:val="00C26032"/>
    <w:rsid w:val="00C458E8"/>
    <w:rsid w:val="00C502FE"/>
    <w:rsid w:val="00C53F25"/>
    <w:rsid w:val="00C55F3A"/>
    <w:rsid w:val="00C61169"/>
    <w:rsid w:val="00C77905"/>
    <w:rsid w:val="00C86C12"/>
    <w:rsid w:val="00C8778F"/>
    <w:rsid w:val="00CB1DD1"/>
    <w:rsid w:val="00CB374A"/>
    <w:rsid w:val="00CD479D"/>
    <w:rsid w:val="00CF4E6E"/>
    <w:rsid w:val="00CF577F"/>
    <w:rsid w:val="00CF5B5E"/>
    <w:rsid w:val="00D050FD"/>
    <w:rsid w:val="00D11921"/>
    <w:rsid w:val="00D1297F"/>
    <w:rsid w:val="00D167A1"/>
    <w:rsid w:val="00D34EC9"/>
    <w:rsid w:val="00D47BA4"/>
    <w:rsid w:val="00D5517B"/>
    <w:rsid w:val="00D644B3"/>
    <w:rsid w:val="00D84DB6"/>
    <w:rsid w:val="00DB3D88"/>
    <w:rsid w:val="00DC16CB"/>
    <w:rsid w:val="00DD1FB2"/>
    <w:rsid w:val="00DE052B"/>
    <w:rsid w:val="00DF4D9D"/>
    <w:rsid w:val="00E035CF"/>
    <w:rsid w:val="00E05F25"/>
    <w:rsid w:val="00E239F3"/>
    <w:rsid w:val="00E37108"/>
    <w:rsid w:val="00E57B82"/>
    <w:rsid w:val="00E716FB"/>
    <w:rsid w:val="00E86584"/>
    <w:rsid w:val="00E87194"/>
    <w:rsid w:val="00E87A21"/>
    <w:rsid w:val="00EA39A5"/>
    <w:rsid w:val="00EA5B92"/>
    <w:rsid w:val="00EA695D"/>
    <w:rsid w:val="00EC4184"/>
    <w:rsid w:val="00EC4631"/>
    <w:rsid w:val="00ED103E"/>
    <w:rsid w:val="00ED751C"/>
    <w:rsid w:val="00ED7AA8"/>
    <w:rsid w:val="00EE38F5"/>
    <w:rsid w:val="00EF6260"/>
    <w:rsid w:val="00F31EDE"/>
    <w:rsid w:val="00F42C4D"/>
    <w:rsid w:val="00F50B20"/>
    <w:rsid w:val="00F74A97"/>
    <w:rsid w:val="00F8208C"/>
    <w:rsid w:val="00F847A8"/>
    <w:rsid w:val="00F86630"/>
    <w:rsid w:val="00FB0A16"/>
    <w:rsid w:val="00FD5180"/>
    <w:rsid w:val="00FD6739"/>
    <w:rsid w:val="00FD6A70"/>
    <w:rsid w:val="00FE0493"/>
    <w:rsid w:val="00FF10CF"/>
    <w:rsid w:val="00FF3918"/>
    <w:rsid w:val="00FF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0A1C6"/>
  <w15:chartTrackingRefBased/>
  <w15:docId w15:val="{BA364850-C55B-47C0-AF3F-36DC3861A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Theme="minorHAnsi" w:hAnsi="Aptos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25F"/>
    <w:pPr>
      <w:spacing w:after="120" w:line="360" w:lineRule="auto"/>
      <w:jc w:val="both"/>
    </w:pPr>
    <w:rPr>
      <w:rFonts w:asciiTheme="minorHAnsi" w:hAnsiTheme="minorHAnsi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2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25F"/>
    <w:rPr>
      <w:rFonts w:asciiTheme="minorHAnsi" w:hAnsiTheme="minorHAnsi"/>
      <w:kern w:val="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062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25F"/>
    <w:rPr>
      <w:rFonts w:asciiTheme="minorHAnsi" w:hAnsiTheme="minorHAnsi"/>
      <w:kern w:val="0"/>
      <w:sz w:val="24"/>
      <w14:ligatures w14:val="none"/>
    </w:rPr>
  </w:style>
  <w:style w:type="paragraph" w:styleId="FootnoteText">
    <w:name w:val="footnote text"/>
    <w:basedOn w:val="Normal"/>
    <w:link w:val="FootnoteTextChar"/>
    <w:semiHidden/>
    <w:rsid w:val="00906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0625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rsid w:val="0090625F"/>
    <w:rPr>
      <w:vertAlign w:val="superscript"/>
    </w:rPr>
  </w:style>
  <w:style w:type="character" w:styleId="PageNumber">
    <w:name w:val="page number"/>
    <w:basedOn w:val="DefaultParagraphFont"/>
    <w:rsid w:val="0090625F"/>
  </w:style>
  <w:style w:type="paragraph" w:styleId="ListParagraph">
    <w:name w:val="List Paragraph"/>
    <w:basedOn w:val="Normal"/>
    <w:uiPriority w:val="34"/>
    <w:qFormat/>
    <w:rsid w:val="00F50B20"/>
    <w:pPr>
      <w:ind w:left="720"/>
      <w:contextualSpacing/>
    </w:pPr>
  </w:style>
  <w:style w:type="table" w:styleId="TableGrid">
    <w:name w:val="Table Grid"/>
    <w:basedOn w:val="TableNormal"/>
    <w:uiPriority w:val="39"/>
    <w:rsid w:val="00EC4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7C3F"/>
    <w:pPr>
      <w:spacing w:after="0" w:line="240" w:lineRule="auto"/>
    </w:pPr>
    <w:rPr>
      <w:rFonts w:asciiTheme="minorHAnsi" w:hAnsiTheme="minorHAnsi"/>
      <w:kern w:val="0"/>
      <w:sz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07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07C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7C3F"/>
    <w:rPr>
      <w:rFonts w:asciiTheme="minorHAnsi" w:hAnsiTheme="minorHAns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7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7C3F"/>
    <w:rPr>
      <w:rFonts w:asciiTheme="minorHAnsi" w:hAnsiTheme="minorHAnsi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lanchard">
  <a:themeElements>
    <a:clrScheme name="Blanchard 7">
      <a:dk1>
        <a:sysClr val="windowText" lastClr="000000"/>
      </a:dk1>
      <a:lt1>
        <a:sysClr val="window" lastClr="FFFFFF"/>
      </a:lt1>
      <a:dk2>
        <a:srgbClr val="4B00C8"/>
      </a:dk2>
      <a:lt2>
        <a:srgbClr val="FF00FF"/>
      </a:lt2>
      <a:accent1>
        <a:srgbClr val="0000FF"/>
      </a:accent1>
      <a:accent2>
        <a:srgbClr val="368329"/>
      </a:accent2>
      <a:accent3>
        <a:srgbClr val="FFFF00"/>
      </a:accent3>
      <a:accent4>
        <a:srgbClr val="FF7A00"/>
      </a:accent4>
      <a:accent5>
        <a:srgbClr val="CC0000"/>
      </a:accent5>
      <a:accent6>
        <a:srgbClr val="72563A"/>
      </a:accent6>
      <a:hlink>
        <a:srgbClr val="0563C1"/>
      </a:hlink>
      <a:folHlink>
        <a:srgbClr val="954F72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5DCA8-9E98-4F06-BB80-EFAD6BC46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Dylan King</cp:lastModifiedBy>
  <cp:revision>3</cp:revision>
  <dcterms:created xsi:type="dcterms:W3CDTF">2024-11-12T15:39:00Z</dcterms:created>
  <dcterms:modified xsi:type="dcterms:W3CDTF">2024-11-12T16:19:00Z</dcterms:modified>
</cp:coreProperties>
</file>